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353A0">
      <w:pPr>
        <w:spacing w:line="240" w:lineRule="atLeast"/>
        <w:ind w:firstLine="960"/>
        <w:jc w:val="center"/>
        <w:rPr>
          <w:rFonts w:ascii="方正小标宋简体" w:hAnsi="黑体" w:eastAsia="方正小标宋简体" w:cs="黑体"/>
          <w:bCs/>
          <w:sz w:val="48"/>
          <w:szCs w:val="48"/>
        </w:rPr>
      </w:pPr>
    </w:p>
    <w:p w14:paraId="3BBF4F41">
      <w:pPr>
        <w:spacing w:line="240" w:lineRule="atLeast"/>
        <w:ind w:firstLine="960"/>
        <w:jc w:val="center"/>
        <w:rPr>
          <w:rFonts w:ascii="方正小标宋简体" w:hAnsi="黑体" w:eastAsia="方正小标宋简体" w:cs="黑体"/>
          <w:bCs/>
          <w:sz w:val="48"/>
          <w:szCs w:val="48"/>
        </w:rPr>
      </w:pPr>
    </w:p>
    <w:p w14:paraId="776781B2">
      <w:pPr>
        <w:spacing w:line="240" w:lineRule="atLeast"/>
        <w:ind w:firstLine="960"/>
        <w:jc w:val="center"/>
        <w:rPr>
          <w:rFonts w:ascii="方正小标宋简体" w:hAnsi="黑体" w:eastAsia="方正小标宋简体" w:cs="黑体"/>
          <w:bCs/>
          <w:sz w:val="48"/>
          <w:szCs w:val="48"/>
        </w:rPr>
      </w:pPr>
    </w:p>
    <w:p w14:paraId="3F321E76">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沙湾市民政局2023年中央财政困难群众救助补助资金项目支出绩效评价</w:t>
      </w:r>
    </w:p>
    <w:p w14:paraId="55E977A7">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报告</w:t>
      </w:r>
    </w:p>
    <w:p w14:paraId="4DD8E78D">
      <w:pPr>
        <w:spacing w:line="240" w:lineRule="atLeast"/>
        <w:ind w:firstLine="960"/>
        <w:jc w:val="center"/>
        <w:rPr>
          <w:rFonts w:ascii="方正小标宋简体" w:hAnsi="黑体" w:eastAsia="方正小标宋简体" w:cs="黑体"/>
          <w:bCs/>
          <w:sz w:val="48"/>
          <w:szCs w:val="48"/>
        </w:rPr>
      </w:pPr>
    </w:p>
    <w:p w14:paraId="32F68590">
      <w:pPr>
        <w:spacing w:line="240" w:lineRule="atLeast"/>
        <w:ind w:firstLine="960"/>
        <w:jc w:val="center"/>
        <w:rPr>
          <w:rFonts w:ascii="方正小标宋简体" w:hAnsi="黑体" w:eastAsia="方正小标宋简体" w:cs="黑体"/>
          <w:bCs/>
          <w:sz w:val="48"/>
          <w:szCs w:val="48"/>
        </w:rPr>
      </w:pPr>
    </w:p>
    <w:p w14:paraId="14553D1E">
      <w:pPr>
        <w:spacing w:line="240" w:lineRule="atLeast"/>
        <w:ind w:firstLine="960"/>
        <w:jc w:val="center"/>
        <w:rPr>
          <w:rFonts w:ascii="方正小标宋简体" w:hAnsi="黑体" w:eastAsia="方正小标宋简体" w:cs="黑体"/>
          <w:bCs/>
          <w:sz w:val="48"/>
          <w:szCs w:val="48"/>
        </w:rPr>
      </w:pPr>
    </w:p>
    <w:p w14:paraId="63FD355F">
      <w:pPr>
        <w:spacing w:line="240" w:lineRule="atLeast"/>
        <w:ind w:firstLine="960"/>
        <w:jc w:val="center"/>
        <w:rPr>
          <w:rFonts w:ascii="方正小标宋简体" w:hAnsi="黑体" w:eastAsia="方正小标宋简体" w:cs="黑体"/>
          <w:bCs/>
          <w:sz w:val="48"/>
          <w:szCs w:val="48"/>
        </w:rPr>
      </w:pPr>
    </w:p>
    <w:p w14:paraId="5458C320">
      <w:pPr>
        <w:spacing w:line="240" w:lineRule="atLeast"/>
        <w:ind w:firstLine="0" w:firstLineChars="0"/>
        <w:rPr>
          <w:rFonts w:ascii="方正小标宋简体" w:hAnsi="黑体" w:eastAsia="方正小标宋简体" w:cs="黑体"/>
          <w:bCs/>
          <w:sz w:val="48"/>
          <w:szCs w:val="48"/>
        </w:rPr>
      </w:pPr>
    </w:p>
    <w:p w14:paraId="3B38978E">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rPr>
        <w:t>3年中央财政困难群众救助补助资金项目</w:t>
      </w:r>
      <w:bookmarkEnd w:id="0"/>
    </w:p>
    <w:p w14:paraId="0D9DBA29">
      <w:pPr>
        <w:ind w:firstLine="1200" w:firstLineChars="400"/>
        <w:rPr>
          <w:rFonts w:ascii="黑体" w:hAnsi="黑体" w:eastAsia="黑体" w:cs="仿宋_GB2312"/>
          <w:sz w:val="30"/>
          <w:szCs w:val="30"/>
        </w:rPr>
      </w:pPr>
      <w:r>
        <w:rPr>
          <w:rFonts w:ascii="黑体" w:hAnsi="黑体" w:eastAsia="黑体" w:cs="宋体"/>
          <w:sz w:val="30"/>
          <w:szCs w:val="30"/>
        </w:rPr>
        <w:t>项目单位：</w:t>
      </w:r>
      <w:r>
        <w:rPr>
          <w:rFonts w:hint="eastAsia" w:ascii="黑体" w:hAnsi="黑体" w:eastAsia="黑体" w:cs="仿宋_GB2312"/>
          <w:sz w:val="30"/>
          <w:szCs w:val="30"/>
        </w:rPr>
        <w:t>沙湾市民政局</w:t>
      </w:r>
    </w:p>
    <w:p w14:paraId="01A6C1AD">
      <w:pPr>
        <w:ind w:firstLine="1200" w:firstLineChars="400"/>
        <w:rPr>
          <w:rFonts w:ascii="黑体" w:hAnsi="黑体" w:eastAsia="黑体" w:cs="仿宋_GB2312"/>
          <w:sz w:val="30"/>
          <w:szCs w:val="30"/>
        </w:rPr>
      </w:pPr>
      <w:r>
        <w:rPr>
          <w:rFonts w:hint="eastAsia" w:ascii="黑体" w:hAnsi="黑体" w:eastAsia="黑体" w:cs="仿宋_GB2312"/>
          <w:sz w:val="30"/>
          <w:szCs w:val="30"/>
        </w:rPr>
        <w:t>主管部门：沙湾市财政局</w:t>
      </w:r>
    </w:p>
    <w:p w14:paraId="4B7B11E2">
      <w:pPr>
        <w:ind w:firstLine="1200" w:firstLineChars="400"/>
        <w:rPr>
          <w:rFonts w:ascii="黑体" w:hAnsi="黑体" w:eastAsia="黑体" w:cs="仿宋_GB2312"/>
          <w:sz w:val="30"/>
          <w:szCs w:val="30"/>
        </w:rPr>
      </w:pPr>
      <w:r>
        <w:rPr>
          <w:rFonts w:hint="eastAsia" w:ascii="黑体" w:hAnsi="黑体" w:eastAsia="黑体" w:cs="仿宋_GB2312"/>
          <w:sz w:val="30"/>
          <w:szCs w:val="30"/>
        </w:rPr>
        <w:t>项目负责人：刘倩</w:t>
      </w:r>
    </w:p>
    <w:p w14:paraId="022A56D8">
      <w:pPr>
        <w:ind w:firstLine="1200" w:firstLineChars="400"/>
        <w:rPr>
          <w:rFonts w:ascii="黑体" w:hAnsi="黑体" w:eastAsia="黑体" w:cs="仿宋_GB2312"/>
          <w:sz w:val="30"/>
          <w:szCs w:val="30"/>
        </w:rPr>
      </w:pPr>
      <w:r>
        <w:rPr>
          <w:rFonts w:hint="eastAsia" w:ascii="黑体" w:hAnsi="黑体" w:eastAsia="黑体" w:cs="仿宋_GB2312"/>
          <w:sz w:val="30"/>
          <w:szCs w:val="30"/>
        </w:rPr>
        <w:t>填报时间：2024年3月28日</w:t>
      </w:r>
    </w:p>
    <w:p w14:paraId="31656274">
      <w:pPr>
        <w:ind w:firstLine="1200" w:firstLineChars="400"/>
        <w:rPr>
          <w:rFonts w:ascii="黑体" w:hAnsi="黑体" w:eastAsia="黑体" w:cs="仿宋_GB2312"/>
          <w:sz w:val="30"/>
          <w:szCs w:val="30"/>
        </w:rPr>
      </w:pPr>
    </w:p>
    <w:p w14:paraId="7800C24A">
      <w:pPr>
        <w:ind w:firstLine="0" w:firstLineChars="0"/>
        <w:rPr>
          <w:rFonts w:ascii="楷体_GB2312" w:hAnsi="黑体" w:eastAsia="楷体_GB2312" w:cs="黑体"/>
          <w:bCs/>
          <w:color w:val="FF0000"/>
          <w:sz w:val="32"/>
          <w:szCs w:val="32"/>
        </w:rPr>
      </w:pPr>
    </w:p>
    <w:p w14:paraId="496FF7B2">
      <w:pPr>
        <w:spacing w:after="100" w:afterAutospacing="1" w:line="360" w:lineRule="auto"/>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沙湾市民政局2023年中央财政困难群众救助补助资金项目支出绩效评价报告</w:t>
      </w:r>
    </w:p>
    <w:p w14:paraId="7AAA28D1">
      <w:pPr>
        <w:pStyle w:val="2"/>
        <w:spacing w:line="600" w:lineRule="exact"/>
        <w:ind w:firstLine="640"/>
        <w:rPr>
          <w:szCs w:val="32"/>
        </w:rPr>
      </w:pPr>
      <w:r>
        <w:rPr>
          <w:rFonts w:hint="eastAsia"/>
          <w:szCs w:val="32"/>
        </w:rPr>
        <w:t>一、基本情况</w:t>
      </w:r>
    </w:p>
    <w:p w14:paraId="2AD92EFE">
      <w:pPr>
        <w:pStyle w:val="3"/>
        <w:spacing w:line="600" w:lineRule="exact"/>
        <w:ind w:firstLine="643"/>
        <w:rPr>
          <w:rFonts w:ascii="楷体_GB2312" w:eastAsia="楷体_GB2312"/>
          <w:szCs w:val="32"/>
        </w:rPr>
      </w:pPr>
      <w:r>
        <w:rPr>
          <w:rFonts w:hint="eastAsia" w:ascii="楷体_GB2312" w:eastAsia="楷体_GB2312"/>
          <w:szCs w:val="32"/>
        </w:rPr>
        <w:t>（一）项目概况</w:t>
      </w:r>
    </w:p>
    <w:p w14:paraId="0DEDAF41">
      <w:pPr>
        <w:ind w:firstLine="643"/>
        <w:rPr>
          <w:b/>
          <w:bCs/>
          <w:sz w:val="32"/>
          <w:szCs w:val="32"/>
        </w:rPr>
      </w:pPr>
      <w:r>
        <w:rPr>
          <w:rFonts w:hint="eastAsia"/>
          <w:b/>
          <w:bCs/>
          <w:sz w:val="32"/>
          <w:szCs w:val="32"/>
        </w:rPr>
        <w:t>1.项目背景</w:t>
      </w:r>
    </w:p>
    <w:p w14:paraId="2CB91960">
      <w:pPr>
        <w:ind w:firstLine="640"/>
        <w:rPr>
          <w:color w:val="FF0000"/>
          <w:sz w:val="32"/>
          <w:szCs w:val="32"/>
        </w:rPr>
      </w:pPr>
      <w:r>
        <w:rPr>
          <w:rFonts w:hint="eastAsia"/>
          <w:color w:val="000000" w:themeColor="text1"/>
          <w:sz w:val="32"/>
          <w:szCs w:val="32"/>
        </w:rPr>
        <w:t>2017年6月，财政部和民政部印发《中央财政困难群众救助补助资金管理办法》（财社〔2017〕58号），明确规定将城乡低保、特困供养、临时救助、孤儿基本生活保障、流浪乞讨人员救助</w:t>
      </w:r>
      <w:r>
        <w:rPr>
          <w:rFonts w:hint="eastAsia"/>
          <w:color w:val="000000" w:themeColor="text1"/>
          <w:sz w:val="32"/>
          <w:szCs w:val="32"/>
          <w:lang w:eastAsia="zh-CN"/>
        </w:rPr>
        <w:t>专</w:t>
      </w:r>
      <w:r>
        <w:rPr>
          <w:rFonts w:hint="eastAsia"/>
          <w:color w:val="000000" w:themeColor="text1"/>
          <w:sz w:val="32"/>
          <w:szCs w:val="32"/>
        </w:rPr>
        <w:t>项资金整合为困难群众救助资金，并要求各级财政部门要会同民政部门</w:t>
      </w:r>
      <w:r>
        <w:rPr>
          <w:color w:val="000000" w:themeColor="text1"/>
          <w:sz w:val="32"/>
          <w:szCs w:val="32"/>
        </w:rPr>
        <w:t>优化财政支出结构，科学合理编制预算，加强补助资金统筹使用，积极盘活财政存量资金，加大结转结余资金消化力度，增加资金有效供给，发挥补助资金合力，提升资金使用效益。</w:t>
      </w:r>
      <w:r>
        <w:rPr>
          <w:rFonts w:hint="eastAsia"/>
          <w:color w:val="000000" w:themeColor="text1"/>
          <w:sz w:val="32"/>
          <w:szCs w:val="32"/>
        </w:rPr>
        <w:t>2018年10月，自治区财政厅印发《自治区财政困难群众救助补助资金管理办法》（新财社〔2018〕119号），对困难群众救助补助资金实行专款专用提出了明确要求，主要用于支持各地切实做好困难群众救助工作，有效保障城乡困难群众基本生活。</w:t>
      </w:r>
    </w:p>
    <w:p w14:paraId="203195E6">
      <w:pPr>
        <w:ind w:firstLine="643"/>
        <w:rPr>
          <w:b/>
          <w:bCs/>
          <w:sz w:val="32"/>
          <w:szCs w:val="32"/>
        </w:rPr>
      </w:pPr>
      <w:r>
        <w:rPr>
          <w:rFonts w:hint="eastAsia"/>
          <w:b/>
          <w:bCs/>
          <w:sz w:val="32"/>
          <w:szCs w:val="32"/>
        </w:rPr>
        <w:t>2.项目主要内容及实施情况</w:t>
      </w:r>
    </w:p>
    <w:p w14:paraId="13E671F2">
      <w:pPr>
        <w:ind w:firstLine="640"/>
        <w:rPr>
          <w:rFonts w:ascii="仿宋_GB2312" w:hAnsi="仿宋_GB2312" w:cs="仿宋_GB2312"/>
          <w:color w:val="FF0000"/>
          <w:sz w:val="32"/>
          <w:szCs w:val="32"/>
        </w:rPr>
      </w:pPr>
      <w:r>
        <w:rPr>
          <w:rFonts w:hint="eastAsia" w:ascii="仿宋_GB2312" w:hAnsi="仿宋_GB2312" w:cs="仿宋_GB2312"/>
          <w:color w:val="000000" w:themeColor="text1"/>
          <w:sz w:val="32"/>
          <w:szCs w:val="32"/>
        </w:rPr>
        <w:t>本项目主要内容为：</w:t>
      </w:r>
      <w:r>
        <w:rPr>
          <w:rFonts w:hint="eastAsia"/>
          <w:color w:val="000000" w:themeColor="text1"/>
          <w:sz w:val="32"/>
          <w:szCs w:val="32"/>
        </w:rPr>
        <w:t>根据</w:t>
      </w:r>
      <w:r>
        <w:rPr>
          <w:color w:val="000000" w:themeColor="text1"/>
          <w:sz w:val="32"/>
          <w:szCs w:val="32"/>
        </w:rPr>
        <w:t>2014年2月国务院颁布的《社会救助暂行办法》（国务院令第649号）规定，</w:t>
      </w:r>
      <w:r>
        <w:rPr>
          <w:rFonts w:hint="eastAsia"/>
          <w:color w:val="000000" w:themeColor="text1"/>
          <w:sz w:val="32"/>
          <w:szCs w:val="32"/>
        </w:rPr>
        <w:t>市</w:t>
      </w:r>
      <w:r>
        <w:rPr>
          <w:color w:val="000000" w:themeColor="text1"/>
          <w:sz w:val="32"/>
          <w:szCs w:val="32"/>
        </w:rPr>
        <w:t>级以上人民政府应当将社会救助纳入国民经济和社会发展规划，建立健全政府领导、民政部门牵头、有关部门配合、社会力量参与的社会救助工作协调机制，完善社会救助资金、物资保障机制，将政府安排的社会救助资金和社会救助工作经费纳入财政预算。困难群众生活救助资金包括城乡低保、城乡特困人员生活供养、临时救助、孤儿基本生活保障及流浪乞讨人员救助等资金。</w:t>
      </w:r>
      <w:r>
        <w:rPr>
          <w:rFonts w:hint="eastAsia"/>
          <w:color w:val="000000" w:themeColor="text1"/>
          <w:sz w:val="32"/>
          <w:szCs w:val="32"/>
        </w:rPr>
        <w:t>本项目于2023年1月开始实施，截</w:t>
      </w:r>
      <w:r>
        <w:rPr>
          <w:rFonts w:hint="eastAsia"/>
          <w:color w:val="000000" w:themeColor="text1"/>
          <w:sz w:val="32"/>
          <w:szCs w:val="32"/>
          <w:lang w:eastAsia="zh-CN"/>
        </w:rPr>
        <w:t>至</w:t>
      </w:r>
      <w:r>
        <w:rPr>
          <w:rFonts w:hint="eastAsia"/>
          <w:color w:val="000000" w:themeColor="text1"/>
          <w:sz w:val="32"/>
          <w:szCs w:val="32"/>
        </w:rPr>
        <w:t>2023年12月，该项目已实施完成。本项目的实施</w:t>
      </w:r>
      <w:r>
        <w:rPr>
          <w:color w:val="000000" w:themeColor="text1"/>
          <w:sz w:val="32"/>
          <w:szCs w:val="32"/>
        </w:rPr>
        <w:t>有效保障了低保对象、特困人员、孤儿等困难群众的基本生活，使困难群众感受到党和政府的关怀，对于构建和谐社会、经济社会稳定发展具有积极的促进作用。</w:t>
      </w:r>
    </w:p>
    <w:p w14:paraId="19F377C2">
      <w:pPr>
        <w:ind w:firstLine="643"/>
        <w:rPr>
          <w:b/>
          <w:bCs/>
          <w:sz w:val="32"/>
          <w:szCs w:val="32"/>
        </w:rPr>
      </w:pPr>
      <w:r>
        <w:rPr>
          <w:rFonts w:hint="eastAsia"/>
          <w:b/>
          <w:bCs/>
          <w:sz w:val="32"/>
          <w:szCs w:val="32"/>
        </w:rPr>
        <w:t>3.项目实施主体</w:t>
      </w:r>
    </w:p>
    <w:p w14:paraId="054CD430">
      <w:pPr>
        <w:pStyle w:val="21"/>
        <w:spacing w:line="570" w:lineRule="exact"/>
        <w:ind w:firstLine="640"/>
        <w:rPr>
          <w:rFonts w:ascii="仿宋_GB2312" w:hAnsi="仿宋_GB2312" w:cs="仿宋_GB2312"/>
          <w:color w:val="000000" w:themeColor="text1"/>
          <w:sz w:val="32"/>
          <w:szCs w:val="32"/>
        </w:rPr>
      </w:pPr>
      <w:r>
        <w:rPr>
          <w:rFonts w:ascii="仿宋_GB2312" w:hAnsi="仿宋_GB2312" w:cs="仿宋_GB2312"/>
          <w:color w:val="000000" w:themeColor="text1"/>
          <w:sz w:val="32"/>
          <w:szCs w:val="32"/>
        </w:rPr>
        <w:t>202</w:t>
      </w:r>
      <w:r>
        <w:rPr>
          <w:rFonts w:hint="eastAsia" w:ascii="仿宋_GB2312" w:hAnsi="仿宋_GB2312" w:cs="仿宋_GB2312"/>
          <w:color w:val="000000" w:themeColor="text1"/>
          <w:sz w:val="32"/>
          <w:szCs w:val="32"/>
        </w:rPr>
        <w:t>3年塔城地区中央财政困难群众救助补助资金（直达资金）项目的实施主体为塔城地区沙湾市民政局。</w:t>
      </w:r>
    </w:p>
    <w:p w14:paraId="7BF28FCD">
      <w:pPr>
        <w:ind w:firstLine="643"/>
        <w:rPr>
          <w:b/>
          <w:bCs/>
          <w:sz w:val="32"/>
          <w:szCs w:val="32"/>
        </w:rPr>
      </w:pPr>
      <w:r>
        <w:rPr>
          <w:rFonts w:hint="eastAsia"/>
          <w:b/>
          <w:bCs/>
          <w:sz w:val="32"/>
          <w:szCs w:val="32"/>
        </w:rPr>
        <w:t>4. 资金投入和使用情况</w:t>
      </w:r>
    </w:p>
    <w:p w14:paraId="3FFD3DB4">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00CF12A5">
      <w:pPr>
        <w:spacing w:line="600" w:lineRule="exact"/>
        <w:ind w:firstLine="640"/>
        <w:rPr>
          <w:rFonts w:ascii="仿宋_GB2312" w:hAnsi="仿宋_GB2312" w:cs="仿宋_GB2312"/>
          <w:color w:val="FF0000"/>
          <w:sz w:val="32"/>
          <w:szCs w:val="32"/>
        </w:rPr>
      </w:pPr>
      <w:r>
        <w:rPr>
          <w:rFonts w:hint="eastAsia" w:ascii="仿宋_GB2312" w:hAnsi="仿宋_GB2312" w:cs="仿宋_GB2312"/>
          <w:sz w:val="32"/>
          <w:szCs w:val="32"/>
        </w:rPr>
        <w:t>根据塔城地区财政局《提前下达2023年中央财政困难群众救助补助资金（直达资金）》（塔地财社〔2022〕95号）文件，中央财政困难群众救助补助资金项目预算安排第一批资金1321万元，《下达第二批2023年中央财政困难群众救助补助资金（直达资金）》（塔地财社〔2023〕27号）文件，中央财政困难群众救助补助资金项目323.00万元，中央财政困难群众救助补助资金项目预算安排资金总额1644.00万元；2023年实际收到预算资金1644.00万元，预算资金到位率为100%。</w:t>
      </w:r>
    </w:p>
    <w:p w14:paraId="22981D6F">
      <w:pPr>
        <w:spacing w:line="600" w:lineRule="exact"/>
        <w:ind w:firstLine="640"/>
        <w:rPr>
          <w:sz w:val="32"/>
          <w:szCs w:val="32"/>
        </w:rPr>
      </w:pPr>
      <w:r>
        <w:rPr>
          <w:rFonts w:hint="eastAsia"/>
          <w:sz w:val="32"/>
          <w:szCs w:val="32"/>
        </w:rPr>
        <w:t>（2）项目资金实际使用情况</w:t>
      </w:r>
    </w:p>
    <w:p w14:paraId="7C989842">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截至2023年12月31日，本项目实际支付资金1439.78万元，预算执行率87.58%（结余资金204.22万元）。项目资金主要用于支付</w:t>
      </w:r>
      <w:r>
        <w:rPr>
          <w:rFonts w:ascii="仿宋_GB2312" w:hAnsi="仿宋_GB2312" w:cs="仿宋_GB2312"/>
          <w:color w:val="000000" w:themeColor="text1"/>
          <w:sz w:val="32"/>
          <w:szCs w:val="32"/>
        </w:rPr>
        <w:t>城乡低保资金</w:t>
      </w:r>
      <w:r>
        <w:rPr>
          <w:rFonts w:hint="eastAsia" w:ascii="仿宋_GB2312" w:hAnsi="仿宋_GB2312" w:cs="仿宋_GB2312"/>
          <w:color w:val="000000" w:themeColor="text1"/>
          <w:sz w:val="32"/>
          <w:szCs w:val="32"/>
        </w:rPr>
        <w:t>1152.79</w:t>
      </w:r>
      <w:r>
        <w:rPr>
          <w:rFonts w:ascii="仿宋_GB2312" w:hAnsi="仿宋_GB2312" w:cs="仿宋_GB2312"/>
          <w:color w:val="000000" w:themeColor="text1"/>
          <w:sz w:val="32"/>
          <w:szCs w:val="32"/>
        </w:rPr>
        <w:t>万元、特困人员供养资金</w:t>
      </w:r>
      <w:r>
        <w:rPr>
          <w:rFonts w:hint="eastAsia" w:ascii="仿宋_GB2312" w:hAnsi="仿宋_GB2312" w:cs="仿宋_GB2312"/>
          <w:color w:val="000000" w:themeColor="text1"/>
          <w:sz w:val="32"/>
          <w:szCs w:val="32"/>
        </w:rPr>
        <w:t>285.03</w:t>
      </w:r>
      <w:r>
        <w:rPr>
          <w:rFonts w:ascii="仿宋_GB2312" w:hAnsi="仿宋_GB2312" w:cs="仿宋_GB2312"/>
          <w:color w:val="000000" w:themeColor="text1"/>
          <w:sz w:val="32"/>
          <w:szCs w:val="32"/>
        </w:rPr>
        <w:t>万元</w:t>
      </w:r>
      <w:r>
        <w:rPr>
          <w:rFonts w:hint="eastAsia" w:ascii="仿宋_GB2312" w:hAnsi="仿宋_GB2312" w:cs="仿宋_GB2312"/>
          <w:color w:val="000000" w:themeColor="text1"/>
          <w:sz w:val="32"/>
          <w:szCs w:val="32"/>
        </w:rPr>
        <w:t>、</w:t>
      </w:r>
      <w:r>
        <w:rPr>
          <w:rFonts w:ascii="仿宋_GB2312" w:hAnsi="仿宋_GB2312" w:cs="仿宋_GB2312"/>
          <w:color w:val="000000" w:themeColor="text1"/>
          <w:sz w:val="32"/>
          <w:szCs w:val="32"/>
        </w:rPr>
        <w:t>孤儿和</w:t>
      </w:r>
      <w:r>
        <w:rPr>
          <w:rFonts w:hint="eastAsia" w:ascii="仿宋_GB2312" w:hAnsi="仿宋_GB2312" w:cs="仿宋_GB2312"/>
          <w:color w:val="000000" w:themeColor="text1"/>
          <w:sz w:val="32"/>
          <w:szCs w:val="32"/>
        </w:rPr>
        <w:t>艾滋病感染儿童1.96</w:t>
      </w:r>
      <w:r>
        <w:rPr>
          <w:rFonts w:ascii="仿宋_GB2312" w:hAnsi="仿宋_GB2312" w:cs="仿宋_GB2312"/>
          <w:color w:val="000000" w:themeColor="text1"/>
          <w:sz w:val="32"/>
          <w:szCs w:val="32"/>
        </w:rPr>
        <w:t>万元</w:t>
      </w:r>
      <w:r>
        <w:rPr>
          <w:rFonts w:hint="eastAsia" w:ascii="仿宋_GB2312" w:hAnsi="仿宋_GB2312" w:cs="仿宋_GB2312"/>
          <w:color w:val="000000" w:themeColor="text1"/>
          <w:sz w:val="32"/>
          <w:szCs w:val="32"/>
        </w:rPr>
        <w:t>。</w:t>
      </w:r>
    </w:p>
    <w:p w14:paraId="7EF2259D">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38DE5E13">
      <w:pPr>
        <w:ind w:firstLine="643"/>
        <w:rPr>
          <w:b/>
          <w:bCs/>
          <w:sz w:val="32"/>
          <w:szCs w:val="32"/>
        </w:rPr>
      </w:pPr>
      <w:r>
        <w:rPr>
          <w:rFonts w:hint="eastAsia"/>
          <w:b/>
          <w:bCs/>
          <w:sz w:val="32"/>
          <w:szCs w:val="32"/>
        </w:rPr>
        <w:t>1.总体目标</w:t>
      </w:r>
    </w:p>
    <w:p w14:paraId="5A05DED1">
      <w:pPr>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规范城乡低保政策实施，合理确定保障标准，使低保对象基本生活得到有效保障；统筹特困人员救助供养工作；规范高效实施孤儿生活保障政策。</w:t>
      </w:r>
    </w:p>
    <w:p w14:paraId="4774D82E">
      <w:pPr>
        <w:ind w:firstLine="643"/>
        <w:rPr>
          <w:b/>
          <w:bCs/>
          <w:sz w:val="32"/>
          <w:szCs w:val="32"/>
        </w:rPr>
      </w:pPr>
      <w:r>
        <w:rPr>
          <w:rFonts w:hint="eastAsia"/>
          <w:b/>
          <w:bCs/>
          <w:sz w:val="32"/>
          <w:szCs w:val="32"/>
        </w:rPr>
        <w:t>2.阶段性目标</w:t>
      </w:r>
    </w:p>
    <w:p w14:paraId="0CECD4CB">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14:paraId="7CC0CA0F">
      <w:pPr>
        <w:numPr>
          <w:ilvl w:val="0"/>
          <w:numId w:val="3"/>
        </w:numPr>
        <w:spacing w:line="600" w:lineRule="exact"/>
        <w:ind w:firstLine="640"/>
        <w:rPr>
          <w:sz w:val="32"/>
          <w:szCs w:val="32"/>
        </w:rPr>
      </w:pPr>
      <w:r>
        <w:rPr>
          <w:rFonts w:hint="eastAsia"/>
          <w:sz w:val="32"/>
          <w:szCs w:val="32"/>
        </w:rPr>
        <w:t>项目产出指标</w:t>
      </w:r>
    </w:p>
    <w:p w14:paraId="6476295C">
      <w:pPr>
        <w:spacing w:line="600" w:lineRule="exact"/>
        <w:ind w:firstLine="640"/>
        <w:rPr>
          <w:sz w:val="32"/>
          <w:szCs w:val="32"/>
        </w:rPr>
      </w:pPr>
      <w:r>
        <w:rPr>
          <w:rFonts w:hint="eastAsia"/>
          <w:sz w:val="32"/>
          <w:szCs w:val="32"/>
        </w:rPr>
        <w:t>①数量指标</w:t>
      </w:r>
    </w:p>
    <w:p w14:paraId="25FF24B8">
      <w:pPr>
        <w:spacing w:line="600" w:lineRule="exact"/>
        <w:ind w:firstLine="640"/>
        <w:rPr>
          <w:sz w:val="32"/>
          <w:szCs w:val="32"/>
        </w:rPr>
      </w:pPr>
      <w:r>
        <w:rPr>
          <w:rFonts w:hint="eastAsia"/>
          <w:sz w:val="32"/>
          <w:szCs w:val="32"/>
        </w:rPr>
        <w:t>“低保补助人数（人）”指标，预期指标值为“大于等于2690人”；</w:t>
      </w:r>
    </w:p>
    <w:p w14:paraId="7BED0B9B">
      <w:pPr>
        <w:spacing w:line="600" w:lineRule="exact"/>
        <w:ind w:firstLine="640"/>
        <w:rPr>
          <w:sz w:val="32"/>
          <w:szCs w:val="32"/>
        </w:rPr>
      </w:pPr>
      <w:r>
        <w:rPr>
          <w:rFonts w:hint="eastAsia"/>
          <w:sz w:val="32"/>
          <w:szCs w:val="32"/>
        </w:rPr>
        <w:t>“特困人员救助数（人）”指标，预期指标值为“大于等于262人”；</w:t>
      </w:r>
    </w:p>
    <w:p w14:paraId="32837B46">
      <w:pPr>
        <w:spacing w:line="600" w:lineRule="exact"/>
        <w:ind w:firstLine="640"/>
        <w:rPr>
          <w:sz w:val="32"/>
          <w:szCs w:val="32"/>
        </w:rPr>
      </w:pPr>
      <w:r>
        <w:rPr>
          <w:rFonts w:hint="eastAsia"/>
          <w:sz w:val="32"/>
          <w:szCs w:val="32"/>
        </w:rPr>
        <w:t>“受感染病感染儿童数（人）”指标，预期指标值为“大于等于2人”。</w:t>
      </w:r>
    </w:p>
    <w:p w14:paraId="512A43A5">
      <w:pPr>
        <w:spacing w:line="600" w:lineRule="exact"/>
        <w:ind w:firstLine="640"/>
        <w:rPr>
          <w:sz w:val="32"/>
          <w:szCs w:val="32"/>
        </w:rPr>
      </w:pPr>
      <w:r>
        <w:rPr>
          <w:rFonts w:hint="eastAsia"/>
          <w:sz w:val="32"/>
          <w:szCs w:val="32"/>
        </w:rPr>
        <w:t>②质量指标</w:t>
      </w:r>
    </w:p>
    <w:p w14:paraId="1C8A1490">
      <w:pPr>
        <w:spacing w:line="600" w:lineRule="exact"/>
        <w:ind w:firstLine="640"/>
        <w:rPr>
          <w:sz w:val="32"/>
          <w:szCs w:val="32"/>
        </w:rPr>
      </w:pPr>
      <w:r>
        <w:rPr>
          <w:rFonts w:hint="eastAsia"/>
          <w:sz w:val="32"/>
          <w:szCs w:val="32"/>
        </w:rPr>
        <w:t>“救助人员覆盖率（％）”指标，预期指标值为“等于100％”；</w:t>
      </w:r>
    </w:p>
    <w:p w14:paraId="3E25819D">
      <w:pPr>
        <w:spacing w:line="600" w:lineRule="exact"/>
        <w:ind w:firstLine="640"/>
        <w:rPr>
          <w:sz w:val="32"/>
          <w:szCs w:val="32"/>
        </w:rPr>
      </w:pPr>
      <w:r>
        <w:rPr>
          <w:rFonts w:hint="eastAsia"/>
          <w:sz w:val="32"/>
          <w:szCs w:val="32"/>
        </w:rPr>
        <w:t>③时效指标</w:t>
      </w:r>
    </w:p>
    <w:p w14:paraId="6D2CB7A8">
      <w:pPr>
        <w:spacing w:line="600" w:lineRule="exact"/>
        <w:ind w:firstLine="640"/>
        <w:rPr>
          <w:sz w:val="32"/>
          <w:szCs w:val="32"/>
        </w:rPr>
      </w:pPr>
      <w:r>
        <w:rPr>
          <w:rFonts w:hint="eastAsia"/>
          <w:sz w:val="32"/>
          <w:szCs w:val="32"/>
        </w:rPr>
        <w:t>“项目完成时间（年月日）”指标，预期指标值为“2023年12月25日前”；</w:t>
      </w:r>
    </w:p>
    <w:p w14:paraId="5BBC7960">
      <w:pPr>
        <w:numPr>
          <w:ilvl w:val="0"/>
          <w:numId w:val="3"/>
        </w:numPr>
        <w:spacing w:line="600" w:lineRule="exact"/>
        <w:ind w:firstLine="640"/>
        <w:rPr>
          <w:sz w:val="32"/>
          <w:szCs w:val="32"/>
        </w:rPr>
      </w:pPr>
      <w:r>
        <w:rPr>
          <w:rFonts w:hint="eastAsia"/>
          <w:sz w:val="32"/>
          <w:szCs w:val="32"/>
        </w:rPr>
        <w:t>项目成本指标</w:t>
      </w:r>
    </w:p>
    <w:p w14:paraId="0555D69A">
      <w:pPr>
        <w:spacing w:line="600" w:lineRule="exact"/>
        <w:ind w:firstLine="640"/>
      </w:pPr>
      <w:r>
        <w:rPr>
          <w:rFonts w:hint="eastAsia"/>
          <w:sz w:val="32"/>
          <w:szCs w:val="32"/>
        </w:rPr>
        <w:t>①经济成本指标</w:t>
      </w:r>
    </w:p>
    <w:p w14:paraId="55BEF7D9">
      <w:pPr>
        <w:spacing w:line="600" w:lineRule="exact"/>
        <w:ind w:firstLine="640"/>
        <w:rPr>
          <w:sz w:val="32"/>
          <w:szCs w:val="32"/>
        </w:rPr>
      </w:pPr>
      <w:r>
        <w:rPr>
          <w:rFonts w:hint="eastAsia"/>
          <w:sz w:val="32"/>
          <w:szCs w:val="32"/>
        </w:rPr>
        <w:t>“低保资金社会化发放金额（万元）”指标，预期指标值为“小于等于1020.14万元”；</w:t>
      </w:r>
    </w:p>
    <w:p w14:paraId="74DA20A3">
      <w:pPr>
        <w:spacing w:line="600" w:lineRule="exact"/>
        <w:ind w:firstLine="640"/>
        <w:rPr>
          <w:sz w:val="32"/>
          <w:szCs w:val="32"/>
        </w:rPr>
      </w:pPr>
      <w:r>
        <w:rPr>
          <w:rFonts w:hint="eastAsia"/>
          <w:sz w:val="32"/>
          <w:szCs w:val="32"/>
        </w:rPr>
        <w:t>“受</w:t>
      </w:r>
      <w:r>
        <w:rPr>
          <w:rFonts w:hint="eastAsia"/>
          <w:sz w:val="32"/>
          <w:szCs w:val="32"/>
          <w:lang w:eastAsia="zh-CN"/>
        </w:rPr>
        <w:t>艾滋病</w:t>
      </w:r>
      <w:r>
        <w:rPr>
          <w:rFonts w:hint="eastAsia"/>
          <w:sz w:val="32"/>
          <w:szCs w:val="32"/>
        </w:rPr>
        <w:t>感染的儿童补助标准（元/人）”指标，预期指标值为“小于等于1150元/人”；</w:t>
      </w:r>
    </w:p>
    <w:p w14:paraId="79B1BCF8">
      <w:pPr>
        <w:spacing w:line="600" w:lineRule="exact"/>
        <w:ind w:firstLine="640"/>
        <w:rPr>
          <w:sz w:val="32"/>
          <w:szCs w:val="32"/>
        </w:rPr>
      </w:pPr>
      <w:r>
        <w:rPr>
          <w:rFonts w:hint="eastAsia"/>
          <w:sz w:val="32"/>
          <w:szCs w:val="32"/>
        </w:rPr>
        <w:t>“特困人员社会化发放金额（万元）”指标，预期指标值为“小于等于298.32万元”。</w:t>
      </w:r>
    </w:p>
    <w:p w14:paraId="5C61AD04">
      <w:pPr>
        <w:spacing w:line="600" w:lineRule="exact"/>
        <w:ind w:firstLine="640"/>
        <w:rPr>
          <w:sz w:val="32"/>
          <w:szCs w:val="32"/>
        </w:rPr>
      </w:pPr>
      <w:r>
        <w:rPr>
          <w:rFonts w:hint="eastAsia"/>
          <w:sz w:val="32"/>
          <w:szCs w:val="32"/>
        </w:rPr>
        <w:t>（3）项目效益指标</w:t>
      </w:r>
    </w:p>
    <w:p w14:paraId="639C9AF9">
      <w:pPr>
        <w:spacing w:line="600" w:lineRule="exact"/>
        <w:ind w:firstLine="640"/>
        <w:rPr>
          <w:sz w:val="32"/>
          <w:szCs w:val="32"/>
        </w:rPr>
      </w:pPr>
      <w:r>
        <w:rPr>
          <w:rFonts w:hint="eastAsia"/>
          <w:sz w:val="32"/>
          <w:szCs w:val="32"/>
        </w:rPr>
        <w:t>①经济效益指标</w:t>
      </w:r>
    </w:p>
    <w:p w14:paraId="70C77B90">
      <w:pPr>
        <w:spacing w:line="600" w:lineRule="exact"/>
        <w:ind w:firstLine="640"/>
        <w:rPr>
          <w:rFonts w:ascii="仿宋_GB2312"/>
          <w:sz w:val="32"/>
          <w:szCs w:val="32"/>
        </w:rPr>
      </w:pPr>
      <w:r>
        <w:rPr>
          <w:rFonts w:hint="eastAsia" w:ascii="仿宋_GB2312"/>
          <w:sz w:val="32"/>
          <w:szCs w:val="32"/>
        </w:rPr>
        <w:t>本项目无该项指标。</w:t>
      </w:r>
    </w:p>
    <w:p w14:paraId="2CFDE04A">
      <w:pPr>
        <w:spacing w:line="600" w:lineRule="exact"/>
        <w:ind w:firstLine="640"/>
        <w:rPr>
          <w:sz w:val="32"/>
          <w:szCs w:val="32"/>
        </w:rPr>
      </w:pPr>
      <w:r>
        <w:rPr>
          <w:rFonts w:hint="eastAsia"/>
          <w:sz w:val="32"/>
          <w:szCs w:val="32"/>
        </w:rPr>
        <w:t>②社会效益指标</w:t>
      </w:r>
    </w:p>
    <w:p w14:paraId="5F289F79">
      <w:pPr>
        <w:spacing w:line="600" w:lineRule="exact"/>
        <w:ind w:firstLine="640"/>
        <w:rPr>
          <w:sz w:val="32"/>
          <w:szCs w:val="32"/>
        </w:rPr>
      </w:pPr>
      <w:r>
        <w:rPr>
          <w:rFonts w:hint="eastAsia"/>
          <w:sz w:val="32"/>
          <w:szCs w:val="32"/>
        </w:rPr>
        <w:t>“提升困难群众生活水平”指标，预期指标值为“有所提升”；</w:t>
      </w:r>
    </w:p>
    <w:p w14:paraId="79F0A45A">
      <w:pPr>
        <w:spacing w:line="600" w:lineRule="exact"/>
        <w:ind w:firstLine="640"/>
        <w:rPr>
          <w:sz w:val="32"/>
          <w:szCs w:val="32"/>
        </w:rPr>
      </w:pPr>
      <w:r>
        <w:rPr>
          <w:rFonts w:hint="eastAsia"/>
          <w:sz w:val="32"/>
          <w:szCs w:val="32"/>
        </w:rPr>
        <w:t>③生态效益指标</w:t>
      </w:r>
    </w:p>
    <w:p w14:paraId="25593FDE">
      <w:pPr>
        <w:spacing w:line="600" w:lineRule="exact"/>
        <w:ind w:firstLine="640"/>
        <w:rPr>
          <w:rFonts w:ascii="仿宋_GB2312"/>
          <w:sz w:val="32"/>
          <w:szCs w:val="32"/>
        </w:rPr>
      </w:pPr>
      <w:r>
        <w:rPr>
          <w:rFonts w:hint="eastAsia" w:ascii="仿宋_GB2312"/>
          <w:sz w:val="32"/>
          <w:szCs w:val="32"/>
        </w:rPr>
        <w:t>本项目无该项指标。</w:t>
      </w:r>
    </w:p>
    <w:p w14:paraId="73C78398">
      <w:pPr>
        <w:spacing w:line="600" w:lineRule="exact"/>
        <w:ind w:firstLine="640"/>
        <w:rPr>
          <w:sz w:val="32"/>
          <w:szCs w:val="32"/>
        </w:rPr>
      </w:pPr>
      <w:r>
        <w:rPr>
          <w:rFonts w:hint="eastAsia"/>
          <w:sz w:val="32"/>
          <w:szCs w:val="32"/>
        </w:rPr>
        <w:t>（4）相关满意度目标</w:t>
      </w:r>
    </w:p>
    <w:p w14:paraId="18C108D9">
      <w:pPr>
        <w:spacing w:line="600" w:lineRule="exact"/>
        <w:ind w:firstLine="640"/>
        <w:rPr>
          <w:sz w:val="32"/>
          <w:szCs w:val="32"/>
        </w:rPr>
      </w:pPr>
      <w:r>
        <w:rPr>
          <w:rFonts w:hint="eastAsia"/>
          <w:sz w:val="32"/>
          <w:szCs w:val="32"/>
        </w:rPr>
        <w:t>“困难群众满意度（%)”指标，预期指标值为“大于等于95％”；</w:t>
      </w:r>
    </w:p>
    <w:p w14:paraId="7AF0E0C1">
      <w:pPr>
        <w:pStyle w:val="2"/>
        <w:spacing w:line="600" w:lineRule="exact"/>
        <w:ind w:firstLine="640"/>
        <w:rPr>
          <w:szCs w:val="32"/>
        </w:rPr>
      </w:pPr>
      <w:r>
        <w:rPr>
          <w:rFonts w:hint="eastAsia"/>
          <w:szCs w:val="32"/>
        </w:rPr>
        <w:t>二、绩效评价工作开展情况</w:t>
      </w:r>
    </w:p>
    <w:p w14:paraId="26A1C405">
      <w:pPr>
        <w:pStyle w:val="3"/>
        <w:numPr>
          <w:ilvl w:val="0"/>
          <w:numId w:val="4"/>
        </w:numPr>
        <w:spacing w:line="600" w:lineRule="exact"/>
        <w:ind w:firstLine="643"/>
        <w:rPr>
          <w:rFonts w:ascii="楷体_GB2312" w:eastAsia="楷体_GB2312"/>
          <w:szCs w:val="32"/>
        </w:rPr>
      </w:pPr>
      <w:bookmarkStart w:id="1" w:name="_Toc5258"/>
      <w:bookmarkStart w:id="2" w:name="_Toc5462343"/>
      <w:bookmarkStart w:id="3" w:name="_Toc26632"/>
      <w:bookmarkStart w:id="4" w:name="_Toc480473081"/>
      <w:bookmarkStart w:id="5" w:name="_Toc12868"/>
      <w:bookmarkStart w:id="6" w:name="_Toc22169_WPSOffice_Level2"/>
      <w:bookmarkStart w:id="7" w:name="_Toc22922"/>
      <w:bookmarkStart w:id="8" w:name="_Toc21664"/>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6F9C03A0">
      <w:pPr>
        <w:ind w:firstLine="643"/>
        <w:rPr>
          <w:b/>
          <w:bCs/>
          <w:sz w:val="32"/>
          <w:szCs w:val="32"/>
        </w:rPr>
      </w:pPr>
      <w:r>
        <w:rPr>
          <w:rFonts w:hint="eastAsia"/>
          <w:b/>
          <w:bCs/>
          <w:sz w:val="32"/>
          <w:szCs w:val="32"/>
        </w:rPr>
        <w:t>1.绩效评价的目的</w:t>
      </w:r>
    </w:p>
    <w:p w14:paraId="13304ECB">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Fonts w:hint="eastAsia" w:ascii="仿宋_GB2312" w:hAnsi="仿宋_GB2312" w:cs="仿宋_GB2312"/>
          <w:sz w:val="32"/>
          <w:szCs w:val="32"/>
        </w:rPr>
        <w:t>监督检查</w:t>
      </w:r>
      <w:r>
        <w:rPr>
          <w:rFonts w:ascii="仿宋_GB2312" w:hAnsi="仿宋_GB2312" w:cs="仿宋_GB2312"/>
          <w:sz w:val="32"/>
          <w:szCs w:val="32"/>
        </w:rPr>
        <w:t>困难群众救助补助资金项目管理使用情况，进一步规范管理资金，提高资金使用效率，有效保障低保对象、特困人员、孤儿、流浪乞讨人员等城乡困难群众的基本生活。</w:t>
      </w:r>
    </w:p>
    <w:p w14:paraId="64F48162">
      <w:pPr>
        <w:ind w:firstLine="643"/>
        <w:rPr>
          <w:b/>
          <w:bCs/>
          <w:sz w:val="32"/>
          <w:szCs w:val="32"/>
        </w:rPr>
      </w:pPr>
      <w:r>
        <w:rPr>
          <w:rFonts w:hint="eastAsia"/>
          <w:b/>
          <w:bCs/>
          <w:sz w:val="32"/>
          <w:szCs w:val="32"/>
        </w:rPr>
        <w:t>2.绩效评价的对象和范围</w:t>
      </w:r>
    </w:p>
    <w:p w14:paraId="2B1BAE8A">
      <w:pPr>
        <w:spacing w:line="600" w:lineRule="exact"/>
        <w:ind w:firstLine="640"/>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以及自治区财政厅《自治区财政支出绩效评价管理暂行办法》（新财预〔2018〕189号）等文件规定，</w:t>
      </w:r>
      <w:r>
        <w:rPr>
          <w:rFonts w:hint="eastAsia" w:ascii="仿宋_GB2312"/>
          <w:color w:val="000000" w:themeColor="text1"/>
          <w:sz w:val="32"/>
          <w:szCs w:val="32"/>
        </w:rPr>
        <w:t>对2023年度我单位实施的中央财政困难群众救助补助资金（直达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8FEDF56">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719162BA">
      <w:pPr>
        <w:ind w:firstLine="643"/>
        <w:rPr>
          <w:b/>
          <w:bCs/>
          <w:sz w:val="32"/>
          <w:szCs w:val="32"/>
        </w:rPr>
      </w:pPr>
      <w:r>
        <w:rPr>
          <w:rFonts w:hint="eastAsia"/>
          <w:b/>
          <w:bCs/>
          <w:sz w:val="32"/>
          <w:szCs w:val="32"/>
        </w:rPr>
        <w:t>1.绩效评价原则</w:t>
      </w:r>
    </w:p>
    <w:p w14:paraId="3D4BC561">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中央财政困难群众救助补助资金项目实际开展情况，运用定量和定性分析相结合的方法，总结经验做法，反思项目实施和管理中的问题，以切实提升财政资金管理的科学化、规范化和精细化水平。</w:t>
      </w:r>
    </w:p>
    <w:p w14:paraId="4027133D">
      <w:pPr>
        <w:spacing w:line="600" w:lineRule="exact"/>
        <w:ind w:firstLine="640"/>
        <w:rPr>
          <w:sz w:val="32"/>
          <w:szCs w:val="32"/>
        </w:rPr>
      </w:pPr>
      <w:r>
        <w:rPr>
          <w:rFonts w:hint="eastAsia"/>
          <w:sz w:val="32"/>
          <w:szCs w:val="32"/>
        </w:rPr>
        <w:t>根据以上原则，绩效评价遵循如下具体要求：</w:t>
      </w:r>
    </w:p>
    <w:p w14:paraId="43297D3C">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4D369942">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38C266C2">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0032E1D6">
      <w:pPr>
        <w:ind w:firstLine="643"/>
        <w:rPr>
          <w:b/>
          <w:bCs/>
          <w:sz w:val="32"/>
          <w:szCs w:val="32"/>
        </w:rPr>
      </w:pPr>
      <w:bookmarkStart w:id="9" w:name="_Toc419984722"/>
      <w:bookmarkStart w:id="10" w:name="_Toc428278230"/>
      <w:bookmarkStart w:id="11" w:name="_Toc26131"/>
      <w:bookmarkStart w:id="12" w:name="_Toc1913"/>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6BF363CB">
      <w:pPr>
        <w:spacing w:line="600" w:lineRule="exact"/>
        <w:ind w:firstLine="640"/>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14:paraId="650979F9">
      <w:pPr>
        <w:spacing w:line="600" w:lineRule="exact"/>
        <w:ind w:firstLine="640"/>
        <w:rPr>
          <w:rFonts w:ascii="仿宋_GB2312"/>
          <w:color w:val="000000" w:themeColor="text1"/>
          <w:sz w:val="32"/>
          <w:szCs w:val="32"/>
        </w:rPr>
      </w:pPr>
      <w:r>
        <w:rPr>
          <w:rFonts w:hint="eastAsia" w:ascii="仿宋_GB2312"/>
          <w:color w:val="000000" w:themeColor="text1"/>
          <w:sz w:val="32"/>
          <w:szCs w:val="32"/>
        </w:rPr>
        <w:t>一级指标为：决策、过程、产出、成本、效益。</w:t>
      </w:r>
    </w:p>
    <w:p w14:paraId="40882F89">
      <w:pPr>
        <w:spacing w:line="600" w:lineRule="exact"/>
        <w:ind w:firstLine="640"/>
        <w:rPr>
          <w:rFonts w:ascii="仿宋_GB2312"/>
          <w:color w:val="000000" w:themeColor="text1"/>
          <w:sz w:val="32"/>
          <w:szCs w:val="32"/>
        </w:rPr>
      </w:pPr>
      <w:r>
        <w:rPr>
          <w:rFonts w:hint="eastAsia" w:ascii="仿宋_GB2312"/>
          <w:color w:val="000000" w:themeColor="text1"/>
          <w:sz w:val="32"/>
          <w:szCs w:val="32"/>
        </w:rPr>
        <w:t>二级指标为：项目立项、绩效目标、资金投入、资金管理、组织实施、产出数量、产出质量、产出时效、经济成本、项目效益。</w:t>
      </w:r>
    </w:p>
    <w:p w14:paraId="62A02AED">
      <w:pPr>
        <w:spacing w:line="600" w:lineRule="exact"/>
        <w:ind w:firstLine="640"/>
        <w:rPr>
          <w:rFonts w:ascii="仿宋_GB2312"/>
          <w:color w:val="000000" w:themeColor="text1"/>
          <w:sz w:val="32"/>
          <w:szCs w:val="32"/>
        </w:rPr>
      </w:pPr>
      <w:r>
        <w:rPr>
          <w:rFonts w:hint="eastAsia" w:ascii="仿宋_GB2312"/>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0A473B68">
      <w:pPr>
        <w:ind w:firstLine="643"/>
        <w:rPr>
          <w:b/>
          <w:bCs/>
          <w:sz w:val="32"/>
          <w:szCs w:val="32"/>
        </w:rPr>
      </w:pPr>
      <w:r>
        <w:rPr>
          <w:rFonts w:hint="eastAsia"/>
          <w:b/>
          <w:bCs/>
          <w:sz w:val="32"/>
          <w:szCs w:val="32"/>
        </w:rPr>
        <w:t>3.评价方法</w:t>
      </w:r>
    </w:p>
    <w:p w14:paraId="30955BD7">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0687356F">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9879E14">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51E7C9C4">
      <w:pPr>
        <w:ind w:firstLine="643"/>
        <w:rPr>
          <w:b/>
          <w:bCs/>
          <w:sz w:val="32"/>
          <w:szCs w:val="32"/>
        </w:rPr>
      </w:pPr>
      <w:r>
        <w:rPr>
          <w:rFonts w:hint="eastAsia"/>
          <w:b/>
          <w:bCs/>
          <w:sz w:val="32"/>
          <w:szCs w:val="32"/>
        </w:rPr>
        <w:t>4.评价标准</w:t>
      </w:r>
    </w:p>
    <w:p w14:paraId="246DBFF6">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998F03F">
      <w:pPr>
        <w:pStyle w:val="3"/>
        <w:spacing w:line="600" w:lineRule="exact"/>
        <w:ind w:left="420" w:firstLine="0" w:firstLineChars="0"/>
        <w:rPr>
          <w:szCs w:val="32"/>
        </w:rPr>
      </w:pPr>
      <w:r>
        <w:rPr>
          <w:rFonts w:hint="eastAsia"/>
          <w:szCs w:val="32"/>
        </w:rPr>
        <w:t>（三）绩效评价工作过程</w:t>
      </w:r>
    </w:p>
    <w:p w14:paraId="7C01C3E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4C82A889">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4008701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高西京任评价组组长，绩效评价工作职责为检查项目绩效指标完成情况、审定项目支出绩效评价结果及项目支出绩效评价报告。</w:t>
      </w:r>
    </w:p>
    <w:p w14:paraId="4A5CBD1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杨国刚任评价组副组长，绩效评价工作职责为组织和协调项目工作人员采取实地调查、资料检查等方式，核实项目绩效指标完成情况；组织受益对象对项目工作进行评价等。</w:t>
      </w:r>
    </w:p>
    <w:p w14:paraId="7CBAD7C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刘倩任评价组成员，绩效评价工作职责为做好项目支出绩效评价工作的沟通协调工作，对项目实施情况进行实地调查，编写项目支出绩效评价报告。</w:t>
      </w:r>
    </w:p>
    <w:p w14:paraId="277C33B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17FB2B9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2BA6B5A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315F9C9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7B328482">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2916C7F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39544394">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4663C12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75EC18C5">
      <w:pPr>
        <w:pStyle w:val="2"/>
        <w:numPr>
          <w:ilvl w:val="0"/>
          <w:numId w:val="5"/>
        </w:numPr>
        <w:spacing w:line="600" w:lineRule="exact"/>
        <w:ind w:firstLine="640"/>
        <w:rPr>
          <w:szCs w:val="32"/>
        </w:rPr>
      </w:pPr>
      <w:r>
        <w:rPr>
          <w:rFonts w:hint="eastAsia"/>
          <w:szCs w:val="32"/>
        </w:rPr>
        <w:t>综合评价情况及评价结论</w:t>
      </w:r>
    </w:p>
    <w:p w14:paraId="3ED166E7">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0ACAEE61">
      <w:pPr>
        <w:spacing w:line="600" w:lineRule="exact"/>
        <w:ind w:firstLine="640"/>
        <w:rPr>
          <w:rFonts w:ascii="仿宋_GB2312"/>
          <w:sz w:val="32"/>
          <w:szCs w:val="32"/>
        </w:rPr>
      </w:pPr>
      <w:r>
        <w:rPr>
          <w:rFonts w:hint="eastAsia" w:ascii="仿宋_GB2312"/>
          <w:sz w:val="32"/>
          <w:szCs w:val="32"/>
        </w:rPr>
        <w:t>通过中央财政困难群众救助补助资金项目的实施，有效缓解了低保、特困供养人员、孤儿和受感染儿童经济和生活压力，帮助困难家庭克服了因物价上涨带来的影响，低保、特困人员基本生活得到有效保障，保障孤儿和受感染儿童生存，促进其成长，使其生活得更有尊严，更好地融入社会。该项目预算执行率达87.58％，困难群众救助</w:t>
      </w:r>
      <w:r>
        <w:rPr>
          <w:rFonts w:hint="eastAsia" w:ascii="仿宋_GB2312" w:cs="仿宋_GB2312"/>
          <w:sz w:val="32"/>
          <w:szCs w:val="32"/>
        </w:rPr>
        <w:t>实行动态管理，对符合救助条件的人员及时纳入救助系统，对不符合条件的及时予以清退，做到应保尽保，应退尽退。</w:t>
      </w:r>
    </w:p>
    <w:p w14:paraId="6649CD7D">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55B0F762">
      <w:pPr>
        <w:spacing w:line="600" w:lineRule="exact"/>
        <w:ind w:firstLine="640"/>
        <w:rPr>
          <w:rFonts w:ascii="仿宋_GB2312"/>
          <w:color w:val="FF0000"/>
          <w:sz w:val="32"/>
          <w:szCs w:val="32"/>
        </w:rPr>
      </w:pPr>
      <w:r>
        <w:rPr>
          <w:rFonts w:hint="eastAsia" w:ascii="仿宋_GB2312" w:hAnsi="仿宋_GB2312" w:cs="仿宋_GB2312"/>
          <w:bCs/>
          <w:sz w:val="32"/>
          <w:szCs w:val="32"/>
        </w:rPr>
        <w:t>本次评价采取定量与定性评价相结合的方式，对2023年中央财政困难群众救助补助资金项目的绩效目标和各项具体绩效指标实现情况进行了客观评价，最终评分为99.02分。绩效评级为“优”</w:t>
      </w:r>
      <w:r>
        <w:rPr>
          <w:rFonts w:hint="eastAsia" w:ascii="仿宋_GB2312" w:cs="仿宋_GB2312"/>
          <w:color w:val="333333"/>
          <w:sz w:val="32"/>
          <w:szCs w:val="32"/>
        </w:rPr>
        <w:t>，具体得分情况为：</w:t>
      </w:r>
      <w:r>
        <w:rPr>
          <w:rFonts w:hint="eastAsia" w:ascii="仿宋_GB2312" w:hAnsi="仿宋_GB2312" w:cs="仿宋_GB2312"/>
          <w:bCs/>
          <w:sz w:val="32"/>
          <w:szCs w:val="32"/>
        </w:rPr>
        <w:t>项目决策15分、项目过程14.4分、项目产出39.62分、项目效益20分、项目满意度10分。</w:t>
      </w:r>
    </w:p>
    <w:p w14:paraId="7945E33B">
      <w:pPr>
        <w:pStyle w:val="2"/>
        <w:spacing w:line="600" w:lineRule="exact"/>
        <w:ind w:firstLine="640"/>
        <w:rPr>
          <w:szCs w:val="32"/>
        </w:rPr>
      </w:pPr>
      <w:r>
        <w:rPr>
          <w:rFonts w:hint="eastAsia"/>
          <w:szCs w:val="32"/>
        </w:rPr>
        <w:t>四、绩效评价指标分析</w:t>
      </w:r>
    </w:p>
    <w:p w14:paraId="7515098D">
      <w:pPr>
        <w:pStyle w:val="3"/>
        <w:spacing w:line="600" w:lineRule="exact"/>
        <w:ind w:firstLine="643"/>
        <w:rPr>
          <w:rFonts w:ascii="楷体_GB2312" w:eastAsia="楷体_GB2312"/>
          <w:szCs w:val="32"/>
        </w:rPr>
      </w:pPr>
      <w:r>
        <w:rPr>
          <w:rFonts w:hint="eastAsia" w:ascii="楷体_GB2312" w:eastAsia="楷体_GB2312"/>
          <w:szCs w:val="32"/>
        </w:rPr>
        <w:t>（一）项目决策情况</w:t>
      </w:r>
    </w:p>
    <w:p w14:paraId="05084859">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项目决策类指标从项目立项、绩效目标和资金投入三个方面评价项目前期准备工作，权重分值为15分，本项目实际得分15分，得分率为100%。具体各项指标得分如下：</w:t>
      </w:r>
    </w:p>
    <w:p w14:paraId="3F962E52">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立项依据充分性：本项目是由沙湾市民政局提出申报，于2023年1月批复设立，2023年我单位根据《提前下</w:t>
      </w:r>
      <w:r>
        <w:rPr>
          <w:rFonts w:hint="eastAsia" w:ascii="仿宋_GB2312" w:hAnsi="仿宋_GB2312" w:cs="仿宋_GB2312"/>
          <w:sz w:val="32"/>
          <w:szCs w:val="32"/>
          <w:lang w:eastAsia="zh-CN"/>
        </w:rPr>
        <w:t>达</w:t>
      </w:r>
      <w:r>
        <w:rPr>
          <w:rFonts w:hint="eastAsia" w:ascii="仿宋_GB2312" w:hAnsi="仿宋_GB2312" w:cs="仿宋_GB2312"/>
          <w:sz w:val="32"/>
          <w:szCs w:val="32"/>
        </w:rPr>
        <w:t>2023年中央财政困难救助补助资金（直达资金）》（塔财社〔2022〕95号）文件要求组织实施该项目。项目立项符合国家法律法规、自治区和地区行业发展规划和政策要求，属于本部门履职所需。根据评分标准，该指标2.5分，得2.5分。</w:t>
      </w:r>
    </w:p>
    <w:p w14:paraId="377E5ED2">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2.立项程序规范性：根据决策依据编制工作计划和经费预算，经过与部门市政府分管领导进行沟通、筛选确定经费预算计划，上党委会研究确定最终预算方案。根据评分标准，该指标2.5分，得2.5分。</w:t>
      </w:r>
    </w:p>
    <w:p w14:paraId="219C182F">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3.绩效目标合理性：本项目制定了项目支出绩效目标，明确了项目总体思路及总目标、并对项目任务进行了详细分解，对目标进行了细化。根据评分标准，该指标3分，得3分。</w:t>
      </w:r>
    </w:p>
    <w:p w14:paraId="2DD39E86">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4.绩效指标明确性：本项目已将项目绩效目标细化分解为具体的绩效指标，并通过清晰、可衡量的指标值予以体现，与项目目标任务数或计划数相对应。根据评分标准，该指标2分，得2分。</w:t>
      </w:r>
    </w:p>
    <w:p w14:paraId="461DC344">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5.预算编制科学性： 预算编制经过科学论证，内容与项目内容匹配，项目投资额与工作任务相匹配，根据评分标准，该指标3分，得3分。</w:t>
      </w:r>
    </w:p>
    <w:p w14:paraId="77053783">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6.资金分配合理性：本项目资金分配依据充分，资金分配额度合理，与项目地方实际相适应。根据评分标准，该指标2分，得2分。</w:t>
      </w:r>
    </w:p>
    <w:p w14:paraId="540D6B19">
      <w:pPr>
        <w:pStyle w:val="3"/>
        <w:spacing w:line="600" w:lineRule="exact"/>
        <w:ind w:firstLine="643"/>
        <w:rPr>
          <w:rFonts w:ascii="楷体_GB2312" w:eastAsia="楷体_GB2312"/>
          <w:szCs w:val="32"/>
        </w:rPr>
      </w:pPr>
      <w:r>
        <w:rPr>
          <w:rFonts w:hint="eastAsia" w:ascii="楷体_GB2312" w:eastAsia="楷体_GB2312"/>
          <w:szCs w:val="32"/>
        </w:rPr>
        <w:t>（二）项目过程情况</w:t>
      </w:r>
    </w:p>
    <w:p w14:paraId="56A3E018">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项目过程类指标包括资金管理和组织实施两方面的内容，由 5个三级指标构成，权重分值为 15 分，本项目实际得分14.4分，得分率为96%。具体各项指标得分如下：</w:t>
      </w:r>
    </w:p>
    <w:p w14:paraId="4F4D265C">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 xml:space="preserve">1.资金到位率：该项目所需财政资金能够足额拨付到位，牵头单位能够及时足额按照合同约定将专项资金拨付给单位，根据评分标准，该指标2分，得2分。   </w:t>
      </w:r>
    </w:p>
    <w:p w14:paraId="72F36A1E">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2.预算执行率：本项目预算编制较为详细，预算资金1644万元，实际执行1439.78万元，预算执行率为87.58%，项目资金支出总体能够按照预算执行，低保人员实行动态管理，对符合救助条件的人员及时纳入救助系统，对不符合条件的及时予以清退，做到应保尽保，应退尽退。根据评分标准，该指标2分，得1.4分。</w:t>
      </w:r>
    </w:p>
    <w:p w14:paraId="4DAF7782">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3.资金使用合规性：项目任务下达后，我单位按照《自治区财政困难群众救助补助资金管理办法》对经费使用进行规范管理，财务制度健全、执行严格；根据评分标准，该指标3分，得3分。</w:t>
      </w:r>
    </w:p>
    <w:p w14:paraId="6CDED4F3">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4.管理制度健全性：我单位按照《民政</w:t>
      </w:r>
      <w:r>
        <w:rPr>
          <w:rFonts w:hint="eastAsia" w:ascii="仿宋_GB2312" w:cs="仿宋_GB2312"/>
          <w:sz w:val="32"/>
          <w:szCs w:val="32"/>
          <w:lang w:eastAsia="zh-CN"/>
        </w:rPr>
        <w:t>部</w:t>
      </w:r>
      <w:r>
        <w:rPr>
          <w:rFonts w:hint="eastAsia" w:ascii="仿宋_GB2312" w:cs="仿宋_GB2312"/>
          <w:sz w:val="32"/>
          <w:szCs w:val="32"/>
        </w:rPr>
        <w:t xml:space="preserve"> 财政部 银保监会关于进一步加强社会救助资金监管工作的意见》等相关项目管理办法，同时对财政专项资金进行严格管理，基本做到了专款专用，根据评分标准，该指标4分，得4分。</w:t>
      </w:r>
    </w:p>
    <w:p w14:paraId="7A1485D9">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14:paraId="674A0318">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（三）项目产出情况</w:t>
      </w:r>
    </w:p>
    <w:p w14:paraId="01EACF55">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项目产出类指标包括产出数量、产出质量、产出时效、产出成本共四方面的内容，由4个三级指标构成，权重分为40分，本项目实际得分39.62分，得分率为99.05%。具体各项指标得分如下：</w:t>
      </w:r>
    </w:p>
    <w:p w14:paraId="1AE5A321">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2DDE8F06">
      <w:pPr>
        <w:spacing w:line="600" w:lineRule="exact"/>
        <w:ind w:firstLine="640"/>
        <w:rPr>
          <w:sz w:val="32"/>
          <w:szCs w:val="32"/>
        </w:rPr>
      </w:pPr>
      <w:r>
        <w:rPr>
          <w:rFonts w:hint="eastAsia"/>
          <w:sz w:val="32"/>
          <w:szCs w:val="32"/>
        </w:rPr>
        <w:t>“低保补助人数（人）”指标，预期指标值为“大于等于2690人”；实际低保补助人数2649人，指标完成率为98.5%，偏差率为1.5%，造成偏差原因为：低保人员实行动态管理，对符合救助条件的人员及时纳入救助系统，对不符合条件的及时予以清退，做到应保尽保，应退尽退。根据评分标准，该指标扣0.05分，得3.28分。</w:t>
      </w:r>
    </w:p>
    <w:p w14:paraId="1070BF2A">
      <w:pPr>
        <w:spacing w:line="600" w:lineRule="exact"/>
        <w:ind w:firstLine="640"/>
        <w:rPr>
          <w:sz w:val="32"/>
          <w:szCs w:val="32"/>
        </w:rPr>
      </w:pPr>
      <w:r>
        <w:rPr>
          <w:rFonts w:hint="eastAsia"/>
          <w:sz w:val="32"/>
          <w:szCs w:val="32"/>
        </w:rPr>
        <w:t>“特困人员救助数（人）”指标，预期指标值为“大于等于262人”；实际特困人员救助人数243人，指标完成率为92.8%，偏差率为7.2%，造成偏差原因为：特困人员实行动态管理，严格审核相关情况，对符合救助条件的人员及时纳入救助系统，对不符合条件的及时予以清退，做到应保尽保，应退尽退。根据评分标准，该指标扣3.33分，得3.09分。</w:t>
      </w:r>
    </w:p>
    <w:p w14:paraId="0A4859E1">
      <w:pPr>
        <w:spacing w:line="600" w:lineRule="exact"/>
        <w:ind w:firstLine="640"/>
        <w:rPr>
          <w:sz w:val="32"/>
          <w:szCs w:val="32"/>
        </w:rPr>
      </w:pPr>
      <w:r>
        <w:rPr>
          <w:rFonts w:hint="eastAsia"/>
          <w:sz w:val="32"/>
          <w:szCs w:val="32"/>
        </w:rPr>
        <w:t>“孤儿和受感染儿童人数（人）”指标，预期指标值为“大于等于2人”；实际孤儿和受感染儿童人数2人，指标完成率为100%，偏差率为0%，造成偏差原因为：无。根据评分标准，该指标扣0分，得3.34分。</w:t>
      </w:r>
    </w:p>
    <w:p w14:paraId="547F982E">
      <w:pPr>
        <w:spacing w:line="600" w:lineRule="exact"/>
        <w:ind w:firstLine="643"/>
        <w:rPr>
          <w:rFonts w:ascii="仿宋_GB2312"/>
          <w:b/>
          <w:bCs/>
          <w:sz w:val="32"/>
        </w:rPr>
      </w:pPr>
      <w:r>
        <w:rPr>
          <w:rFonts w:hint="eastAsia" w:ascii="仿宋_GB2312"/>
          <w:b/>
          <w:bCs/>
          <w:sz w:val="32"/>
        </w:rPr>
        <w:t>2.产出质量</w:t>
      </w:r>
    </w:p>
    <w:p w14:paraId="7AA24ABD">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“救助人员覆盖率（%）”指标，预期指标值为“等于100%”，根据困难群众救助人数，做到动态管理应保尽保，应退尽退，救助人员覆盖率100%，与预期目标一致，根据评分标准，该指标10分，得10分。</w:t>
      </w:r>
    </w:p>
    <w:p w14:paraId="04BB8B7E">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39A328D2">
      <w:pPr>
        <w:pStyle w:val="6"/>
        <w:spacing w:before="0" w:after="0" w:line="600" w:lineRule="exact"/>
        <w:ind w:firstLine="640"/>
        <w:jc w:val="both"/>
        <w:rPr>
          <w:rFonts w:ascii="仿宋_GB2312" w:cs="仿宋_GB2312"/>
          <w:b w:val="0"/>
          <w:color w:val="FF0000"/>
          <w:sz w:val="32"/>
          <w:szCs w:val="32"/>
        </w:rPr>
      </w:pPr>
      <w:r>
        <w:rPr>
          <w:rFonts w:hint="eastAsia" w:ascii="仿宋_GB2312" w:hAnsi="仿宋_GB2312" w:cs="仿宋_GB2312"/>
          <w:b w:val="0"/>
          <w:color w:val="000000" w:themeColor="text1"/>
          <w:sz w:val="32"/>
          <w:szCs w:val="32"/>
        </w:rPr>
        <w:t>“项目完成时间”指标，预期指标值为“等于100%”；根据资金支付凭证显示，该项目于2023年12月25日完成发放，按相关规定，资金已于2023年12月25日前全部支付完毕，与预期目标指标一致，根据评分标准，该指标10分，得10分。</w:t>
      </w:r>
    </w:p>
    <w:p w14:paraId="16393E62">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588AFD99">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经济成本“低保资金社会化发放金额”指标，预期指标值为“</w:t>
      </w:r>
      <w:r>
        <w:rPr>
          <w:rFonts w:hint="eastAsia"/>
          <w:sz w:val="32"/>
          <w:szCs w:val="32"/>
        </w:rPr>
        <w:t>小于等于</w:t>
      </w:r>
      <w:r>
        <w:rPr>
          <w:rFonts w:hint="eastAsia" w:ascii="仿宋_GB2312" w:hAnsi="仿宋_GB2312" w:cs="仿宋_GB2312"/>
          <w:color w:val="000000" w:themeColor="text1"/>
          <w:sz w:val="32"/>
          <w:szCs w:val="32"/>
        </w:rPr>
        <w:t>1020.14万元”，根据资金支付凭证显示，本项目202</w:t>
      </w:r>
      <w:r>
        <w:rPr>
          <w:rFonts w:ascii="仿宋_GB2312" w:hAnsi="仿宋_GB2312" w:cs="仿宋_GB2312"/>
          <w:color w:val="000000" w:themeColor="text1"/>
          <w:sz w:val="32"/>
          <w:szCs w:val="32"/>
        </w:rPr>
        <w:t>3</w:t>
      </w:r>
      <w:r>
        <w:rPr>
          <w:rFonts w:hint="eastAsia" w:ascii="仿宋_GB2312" w:hAnsi="仿宋_GB2312" w:cs="仿宋_GB2312"/>
          <w:color w:val="000000" w:themeColor="text1"/>
          <w:sz w:val="32"/>
          <w:szCs w:val="32"/>
        </w:rPr>
        <w:t>年共计支付低保资金1152.79万元，经费支出能够控制在年度计划成本范围内，根据评分标准，该指标1.67分，得1.67分。</w:t>
      </w:r>
    </w:p>
    <w:p w14:paraId="230051A3">
      <w:pPr>
        <w:spacing w:line="600" w:lineRule="exact"/>
        <w:ind w:firstLine="640"/>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“受感染儿童补助”指标，预期指标值为“</w:t>
      </w:r>
      <w:r>
        <w:rPr>
          <w:rFonts w:hint="eastAsia"/>
          <w:sz w:val="32"/>
          <w:szCs w:val="32"/>
        </w:rPr>
        <w:t>小于等于</w:t>
      </w:r>
      <w:r>
        <w:rPr>
          <w:rFonts w:hint="eastAsia" w:ascii="仿宋_GB2312" w:hAnsi="仿宋_GB2312" w:cs="仿宋_GB2312"/>
          <w:color w:val="000000" w:themeColor="text1"/>
          <w:sz w:val="32"/>
          <w:szCs w:val="32"/>
        </w:rPr>
        <w:t>1150元/人”，根据资金支付凭证显示，本项目202</w:t>
      </w:r>
      <w:r>
        <w:rPr>
          <w:rFonts w:ascii="仿宋_GB2312" w:hAnsi="仿宋_GB2312" w:cs="仿宋_GB2312"/>
          <w:color w:val="000000" w:themeColor="text1"/>
          <w:sz w:val="32"/>
          <w:szCs w:val="32"/>
        </w:rPr>
        <w:t>3</w:t>
      </w:r>
      <w:r>
        <w:rPr>
          <w:rFonts w:hint="eastAsia" w:ascii="仿宋_GB2312" w:hAnsi="仿宋_GB2312" w:cs="仿宋_GB2312"/>
          <w:color w:val="000000" w:themeColor="text1"/>
          <w:sz w:val="32"/>
          <w:szCs w:val="32"/>
        </w:rPr>
        <w:t>年共计支付受艾滋病感染儿童补助资金1.98万元，经费支出能够控制在年度计划成本范围内，根据评分标准，该</w:t>
      </w:r>
      <w:bookmarkStart w:id="19" w:name="_GoBack"/>
      <w:bookmarkEnd w:id="19"/>
      <w:r>
        <w:rPr>
          <w:rFonts w:hint="eastAsia" w:ascii="仿宋_GB2312" w:hAnsi="仿宋_GB2312" w:cs="仿宋_GB2312"/>
          <w:color w:val="000000" w:themeColor="text1"/>
          <w:sz w:val="32"/>
          <w:szCs w:val="32"/>
        </w:rPr>
        <w:t>指标1.66分，得1.66分。</w:t>
      </w:r>
    </w:p>
    <w:p w14:paraId="43148988">
      <w:pPr>
        <w:pStyle w:val="4"/>
        <w:ind w:firstLine="640"/>
      </w:pPr>
      <w:r>
        <w:rPr>
          <w:rFonts w:hint="eastAsia" w:cs="仿宋_GB2312"/>
          <w:b w:val="0"/>
          <w:bCs w:val="0"/>
          <w:color w:val="000000" w:themeColor="text1"/>
          <w:kern w:val="2"/>
          <w:sz w:val="32"/>
        </w:rPr>
        <w:t>“特困人员社会化发放金额”指标，预期指标值为“小于等于298.32万元”；根据资金支付凭证显示，本项目202</w:t>
      </w:r>
      <w:r>
        <w:rPr>
          <w:rFonts w:cs="仿宋_GB2312"/>
          <w:b w:val="0"/>
          <w:bCs w:val="0"/>
          <w:color w:val="000000" w:themeColor="text1"/>
          <w:kern w:val="2"/>
          <w:sz w:val="32"/>
        </w:rPr>
        <w:t>3</w:t>
      </w:r>
      <w:r>
        <w:rPr>
          <w:rFonts w:hint="eastAsia" w:cs="仿宋_GB2312"/>
          <w:b w:val="0"/>
          <w:bCs w:val="0"/>
          <w:color w:val="000000" w:themeColor="text1"/>
          <w:kern w:val="2"/>
          <w:sz w:val="32"/>
        </w:rPr>
        <w:t>年共计</w:t>
      </w:r>
      <w:r>
        <w:rPr>
          <w:rFonts w:hint="eastAsia" w:cs="仿宋_GB2312"/>
          <w:b w:val="0"/>
          <w:color w:val="000000" w:themeColor="text1"/>
          <w:kern w:val="2"/>
          <w:sz w:val="32"/>
        </w:rPr>
        <w:t>支付</w:t>
      </w:r>
      <w:r>
        <w:rPr>
          <w:rFonts w:hint="eastAsia" w:cs="仿宋_GB2312"/>
          <w:b w:val="0"/>
          <w:bCs w:val="0"/>
          <w:color w:val="000000" w:themeColor="text1"/>
          <w:kern w:val="2"/>
          <w:sz w:val="32"/>
        </w:rPr>
        <w:t>特困人员社会化发放</w:t>
      </w:r>
      <w:r>
        <w:rPr>
          <w:rFonts w:hint="eastAsia" w:cs="仿宋_GB2312"/>
          <w:b w:val="0"/>
          <w:color w:val="000000" w:themeColor="text1"/>
          <w:kern w:val="2"/>
          <w:sz w:val="32"/>
        </w:rPr>
        <w:t>资金285.03万元，经费支出能够控制在年度计划成本范围内，根据评分标准，该指标1.67分，得1.59分。</w:t>
      </w:r>
    </w:p>
    <w:p w14:paraId="1C44D401">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456E7AC8">
      <w:pPr>
        <w:overflowPunct w:val="0"/>
        <w:spacing w:line="600" w:lineRule="exact"/>
        <w:ind w:firstLine="640"/>
        <w:contextualSpacing/>
        <w:rPr>
          <w:rFonts w:ascii="仿宋_GB2312" w:hAnsi="仿宋_GB2312" w:cs="仿宋_GB2312"/>
          <w:bCs/>
          <w:color w:val="000000" w:themeColor="text1"/>
          <w:sz w:val="32"/>
          <w:szCs w:val="32"/>
        </w:rPr>
      </w:pPr>
      <w:r>
        <w:rPr>
          <w:rFonts w:hint="eastAsia" w:ascii="仿宋_GB2312" w:hAnsi="仿宋_GB2312" w:cs="仿宋_GB2312"/>
          <w:bCs/>
          <w:color w:val="000000" w:themeColor="text1"/>
          <w:sz w:val="32"/>
          <w:szCs w:val="32"/>
          <w:lang w:val="zh-TW" w:eastAsia="zh-TW"/>
        </w:rPr>
        <w:t>项目</w:t>
      </w:r>
      <w:r>
        <w:rPr>
          <w:rFonts w:hint="eastAsia" w:ascii="仿宋_GB2312" w:hAnsi="仿宋_GB2312" w:cs="仿宋_GB2312"/>
          <w:bCs/>
          <w:color w:val="000000" w:themeColor="text1"/>
          <w:sz w:val="32"/>
          <w:szCs w:val="32"/>
        </w:rPr>
        <w:t>效益</w:t>
      </w:r>
      <w:r>
        <w:rPr>
          <w:rFonts w:hint="eastAsia" w:ascii="仿宋_GB2312" w:hAnsi="仿宋_GB2312" w:cs="仿宋_GB2312"/>
          <w:bCs/>
          <w:color w:val="000000" w:themeColor="text1"/>
          <w:sz w:val="32"/>
          <w:szCs w:val="32"/>
          <w:lang w:val="zh-TW" w:eastAsia="zh-TW"/>
        </w:rPr>
        <w:t>类指标由</w:t>
      </w:r>
      <w:r>
        <w:rPr>
          <w:rFonts w:hint="eastAsia" w:ascii="仿宋_GB2312" w:hAnsi="仿宋_GB2312" w:cs="仿宋_GB2312"/>
          <w:bCs/>
          <w:color w:val="000000" w:themeColor="text1"/>
          <w:sz w:val="32"/>
          <w:szCs w:val="32"/>
        </w:rPr>
        <w:t>社会效益2</w:t>
      </w:r>
      <w:r>
        <w:rPr>
          <w:rFonts w:hint="eastAsia" w:ascii="仿宋_GB2312" w:hAnsi="仿宋_GB2312" w:cs="仿宋_GB2312"/>
          <w:bCs/>
          <w:color w:val="000000" w:themeColor="text1"/>
          <w:sz w:val="32"/>
          <w:szCs w:val="32"/>
          <w:lang w:val="zh-TW" w:eastAsia="zh-TW"/>
        </w:rPr>
        <w:t>个</w:t>
      </w:r>
      <w:r>
        <w:rPr>
          <w:rFonts w:hint="eastAsia" w:ascii="仿宋_GB2312" w:hAnsi="仿宋_GB2312" w:cs="仿宋_GB2312"/>
          <w:bCs/>
          <w:color w:val="000000" w:themeColor="text1"/>
          <w:sz w:val="32"/>
          <w:szCs w:val="32"/>
          <w:lang w:val="zh-TW"/>
        </w:rPr>
        <w:t>二</w:t>
      </w:r>
      <w:r>
        <w:rPr>
          <w:rFonts w:hint="eastAsia" w:ascii="仿宋_GB2312" w:hAnsi="仿宋_GB2312" w:cs="仿宋_GB2312"/>
          <w:bCs/>
          <w:color w:val="000000" w:themeColor="text1"/>
          <w:sz w:val="32"/>
          <w:szCs w:val="32"/>
          <w:lang w:val="zh-TW" w:eastAsia="zh-TW"/>
        </w:rPr>
        <w:t>级指标和</w:t>
      </w:r>
      <w:r>
        <w:rPr>
          <w:rFonts w:hint="eastAsia" w:ascii="仿宋_GB2312" w:hAnsi="仿宋_GB2312" w:cs="仿宋_GB2312"/>
          <w:bCs/>
          <w:color w:val="000000" w:themeColor="text1"/>
          <w:sz w:val="32"/>
          <w:szCs w:val="32"/>
        </w:rPr>
        <w:t>2</w:t>
      </w:r>
      <w:r>
        <w:rPr>
          <w:rFonts w:hint="eastAsia" w:ascii="仿宋_GB2312" w:hAnsi="仿宋_GB2312" w:cs="仿宋_GB2312"/>
          <w:bCs/>
          <w:color w:val="000000" w:themeColor="text1"/>
          <w:sz w:val="32"/>
          <w:szCs w:val="32"/>
          <w:lang w:val="zh-TW" w:eastAsia="zh-TW"/>
        </w:rPr>
        <w:t>个</w:t>
      </w:r>
      <w:r>
        <w:rPr>
          <w:rFonts w:hint="eastAsia" w:ascii="仿宋_GB2312" w:hAnsi="仿宋_GB2312" w:cs="仿宋_GB2312"/>
          <w:bCs/>
          <w:color w:val="000000" w:themeColor="text1"/>
          <w:sz w:val="32"/>
          <w:szCs w:val="32"/>
        </w:rPr>
        <w:t>三</w:t>
      </w:r>
      <w:r>
        <w:rPr>
          <w:rFonts w:hint="eastAsia" w:ascii="仿宋_GB2312" w:hAnsi="仿宋_GB2312" w:cs="仿宋_GB2312"/>
          <w:bCs/>
          <w:color w:val="000000" w:themeColor="text1"/>
          <w:sz w:val="32"/>
          <w:szCs w:val="32"/>
          <w:lang w:val="zh-TW" w:eastAsia="zh-TW"/>
        </w:rPr>
        <w:t>级指标构成，</w:t>
      </w:r>
      <w:r>
        <w:rPr>
          <w:rFonts w:hint="eastAsia" w:ascii="仿宋_GB2312" w:hAnsi="仿宋_GB2312" w:cs="仿宋_GB2312"/>
          <w:bCs/>
          <w:color w:val="000000" w:themeColor="text1"/>
          <w:sz w:val="32"/>
          <w:szCs w:val="32"/>
        </w:rPr>
        <w:t>权重分为30分，本项目实际得分30分，得分率为100%。具体各项指标得分如下：</w:t>
      </w:r>
    </w:p>
    <w:p w14:paraId="09A30016">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698A5728">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“社会效益”指标，预期指标值为“提升困难群众生活水平”，根据本单位年度考核情况，实际完成值为“达成年度指标”，根据评分标准，该指标20分，得20分。</w:t>
      </w:r>
    </w:p>
    <w:p w14:paraId="5F272612">
      <w:pPr>
        <w:numPr>
          <w:ilvl w:val="0"/>
          <w:numId w:val="6"/>
        </w:numPr>
        <w:spacing w:line="600" w:lineRule="exact"/>
        <w:ind w:firstLine="643"/>
        <w:rPr>
          <w:rFonts w:ascii="仿宋_GB2312"/>
          <w:b/>
          <w:bCs/>
          <w:sz w:val="32"/>
          <w:szCs w:val="32"/>
        </w:rPr>
      </w:pPr>
      <w:r>
        <w:rPr>
          <w:rFonts w:hint="eastAsia" w:ascii="仿宋_GB2312"/>
          <w:b/>
          <w:bCs/>
          <w:sz w:val="32"/>
          <w:szCs w:val="32"/>
        </w:rPr>
        <w:t>经济效益指标</w:t>
      </w:r>
    </w:p>
    <w:p w14:paraId="1717E537">
      <w:pPr>
        <w:pStyle w:val="4"/>
        <w:ind w:firstLine="640"/>
        <w:rPr>
          <w:rFonts w:hAnsi="Times New Roman"/>
          <w:b w:val="0"/>
          <w:bCs w:val="0"/>
          <w:kern w:val="2"/>
          <w:sz w:val="32"/>
        </w:rPr>
      </w:pPr>
      <w:r>
        <w:rPr>
          <w:rFonts w:hint="eastAsia" w:hAnsi="Times New Roman"/>
          <w:b w:val="0"/>
          <w:bCs w:val="0"/>
          <w:kern w:val="2"/>
          <w:sz w:val="32"/>
        </w:rPr>
        <w:t>本项目无该项指标。</w:t>
      </w:r>
    </w:p>
    <w:p w14:paraId="43472FD0">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28CFAB4C">
      <w:pPr>
        <w:spacing w:line="600" w:lineRule="exact"/>
        <w:ind w:firstLine="640"/>
        <w:rPr>
          <w:rFonts w:ascii="仿宋_GB2312"/>
          <w:b/>
          <w:color w:val="FF0000"/>
          <w:sz w:val="32"/>
          <w:szCs w:val="32"/>
        </w:rPr>
      </w:pPr>
      <w:r>
        <w:rPr>
          <w:rFonts w:hint="eastAsia" w:ascii="仿宋_GB2312"/>
          <w:sz w:val="32"/>
          <w:szCs w:val="32"/>
        </w:rPr>
        <w:t>本项目无该项指标。</w:t>
      </w:r>
    </w:p>
    <w:p w14:paraId="736F1C97">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43D0A480">
      <w:pPr>
        <w:pStyle w:val="21"/>
        <w:spacing w:line="600" w:lineRule="exact"/>
        <w:ind w:firstLine="640"/>
        <w:rPr>
          <w:rFonts w:ascii="仿宋_GB2312" w:hAnsi="仿宋_GB2312" w:cs="仿宋_GB2312"/>
          <w:color w:val="000000" w:themeColor="text1"/>
          <w:kern w:val="2"/>
          <w:sz w:val="32"/>
          <w:szCs w:val="32"/>
        </w:rPr>
      </w:pPr>
      <w:bookmarkStart w:id="16" w:name="_Toc1921"/>
      <w:bookmarkStart w:id="17" w:name="_Toc28290"/>
      <w:r>
        <w:rPr>
          <w:rFonts w:hint="eastAsia" w:ascii="仿宋_GB2312" w:hAnsi="仿宋_GB2312" w:cs="仿宋_GB2312"/>
          <w:color w:val="000000" w:themeColor="text1"/>
          <w:kern w:val="2"/>
          <w:sz w:val="32"/>
          <w:szCs w:val="32"/>
        </w:rPr>
        <w:t>“困难群众满意度”指标，预期指标值为“</w:t>
      </w:r>
      <w:r>
        <w:rPr>
          <w:rFonts w:hint="eastAsia"/>
          <w:sz w:val="32"/>
          <w:szCs w:val="32"/>
        </w:rPr>
        <w:t>大于等于</w:t>
      </w:r>
      <w:r>
        <w:rPr>
          <w:rFonts w:hint="eastAsia" w:ascii="仿宋_GB2312" w:hAnsi="仿宋_GB2312" w:cs="仿宋_GB2312"/>
          <w:color w:val="000000" w:themeColor="text1"/>
          <w:kern w:val="2"/>
          <w:sz w:val="32"/>
          <w:szCs w:val="32"/>
        </w:rPr>
        <w:t>95%”，根据对困难群众进行满意度问卷调查和入户走访的结果可知，困难群众满意度达95%，根据评分标准，该指标10分,得10分。</w:t>
      </w:r>
    </w:p>
    <w:p w14:paraId="475B28AC">
      <w:pPr>
        <w:pStyle w:val="2"/>
        <w:spacing w:line="600" w:lineRule="exact"/>
        <w:ind w:firstLine="640"/>
        <w:rPr>
          <w:szCs w:val="32"/>
        </w:rPr>
      </w:pPr>
      <w:r>
        <w:rPr>
          <w:rFonts w:hint="eastAsia"/>
          <w:szCs w:val="32"/>
        </w:rPr>
        <w:t>五、预算执行进度与绩效指标偏差情况</w:t>
      </w:r>
    </w:p>
    <w:p w14:paraId="4BF1B1AC">
      <w:pPr>
        <w:pStyle w:val="3"/>
        <w:numPr>
          <w:ilvl w:val="0"/>
          <w:numId w:val="7"/>
        </w:numPr>
        <w:spacing w:line="600" w:lineRule="exact"/>
        <w:ind w:firstLine="643"/>
        <w:rPr>
          <w:rFonts w:ascii="楷体_GB2312" w:eastAsia="楷体_GB2312"/>
          <w:szCs w:val="32"/>
        </w:rPr>
      </w:pPr>
      <w:r>
        <w:rPr>
          <w:rFonts w:hint="eastAsia" w:ascii="楷体_GB2312" w:eastAsia="楷体_GB2312"/>
          <w:szCs w:val="32"/>
        </w:rPr>
        <w:t>预算执行进度</w:t>
      </w:r>
    </w:p>
    <w:p w14:paraId="744121C2">
      <w:pPr>
        <w:pStyle w:val="21"/>
        <w:spacing w:line="600" w:lineRule="exact"/>
        <w:ind w:firstLine="640"/>
        <w:rPr>
          <w:rFonts w:ascii="仿宋_GB2312"/>
          <w:sz w:val="32"/>
          <w:szCs w:val="32"/>
        </w:rPr>
      </w:pPr>
      <w:r>
        <w:rPr>
          <w:rFonts w:hint="eastAsia" w:ascii="仿宋_GB2312"/>
          <w:sz w:val="32"/>
          <w:szCs w:val="32"/>
        </w:rPr>
        <w:t>2023年中央困难群众救助补助资金项目预算金额1644万元，实际到位1644万元，全年项目实际支出1439.78万元，预算执行率为87.58%。项目绩效指标总体完成率为87.58%，偏差率为12.42%,偏差原因是：1、困难群众救助是</w:t>
      </w:r>
      <w:r>
        <w:rPr>
          <w:rFonts w:hint="eastAsia"/>
          <w:sz w:val="32"/>
          <w:szCs w:val="32"/>
        </w:rPr>
        <w:t>实行动态管理，严格审核相关情况，对符合救助条件的人员及时纳入救助系统，对不符合条件的及时予以清退，做到应保尽保，应退尽退。</w:t>
      </w:r>
    </w:p>
    <w:p w14:paraId="135F88A9">
      <w:pPr>
        <w:pStyle w:val="3"/>
        <w:numPr>
          <w:ilvl w:val="0"/>
          <w:numId w:val="7"/>
        </w:numPr>
        <w:spacing w:line="600" w:lineRule="exact"/>
        <w:ind w:firstLine="643"/>
        <w:rPr>
          <w:rFonts w:ascii="楷体_GB2312" w:eastAsia="楷体_GB2312"/>
          <w:szCs w:val="32"/>
        </w:rPr>
      </w:pPr>
      <w:r>
        <w:rPr>
          <w:rFonts w:hint="eastAsia" w:ascii="楷体_GB2312" w:eastAsia="楷体_GB2312"/>
          <w:szCs w:val="32"/>
        </w:rPr>
        <w:t>绩效指标偏差情况</w:t>
      </w:r>
    </w:p>
    <w:p w14:paraId="5FA53C53">
      <w:pPr>
        <w:spacing w:line="600" w:lineRule="exact"/>
        <w:ind w:firstLine="640"/>
        <w:rPr>
          <w:rFonts w:ascii="仿宋_GB2312"/>
          <w:color w:val="000000" w:themeColor="text1"/>
          <w:sz w:val="32"/>
          <w:szCs w:val="32"/>
        </w:rPr>
      </w:pPr>
      <w:r>
        <w:rPr>
          <w:rFonts w:hint="eastAsia" w:ascii="仿宋_GB2312"/>
          <w:color w:val="000000" w:themeColor="text1"/>
          <w:sz w:val="32"/>
          <w:szCs w:val="32"/>
        </w:rPr>
        <w:t>2023年本单位负责实施的中央困难群众救助补助资金项目当中，“低保补助人数”指标，“特困人员救助人数”指标，“低保资金社会化发放资金”指标，“特困人员社会化发放金额”实际完成情况未能达到预算指标值，存在偏差的原因如下：</w:t>
      </w:r>
    </w:p>
    <w:p w14:paraId="72AC089C">
      <w:pPr>
        <w:numPr>
          <w:ilvl w:val="0"/>
          <w:numId w:val="8"/>
        </w:numPr>
        <w:spacing w:line="600" w:lineRule="exact"/>
        <w:ind w:firstLine="640"/>
        <w:rPr>
          <w:sz w:val="32"/>
          <w:szCs w:val="32"/>
        </w:rPr>
      </w:pPr>
      <w:r>
        <w:rPr>
          <w:rFonts w:hint="eastAsia" w:ascii="仿宋_GB2312"/>
          <w:color w:val="000000" w:themeColor="text1"/>
          <w:sz w:val="32"/>
          <w:szCs w:val="32"/>
        </w:rPr>
        <w:t>“低保补助人数”指标，预期指标值为</w:t>
      </w:r>
      <w:r>
        <w:rPr>
          <w:rFonts w:hint="eastAsia"/>
          <w:sz w:val="32"/>
          <w:szCs w:val="32"/>
        </w:rPr>
        <w:t>大于等于</w:t>
      </w:r>
      <w:r>
        <w:rPr>
          <w:rFonts w:hint="eastAsia" w:ascii="仿宋_GB2312"/>
          <w:color w:val="000000" w:themeColor="text1"/>
          <w:sz w:val="32"/>
          <w:szCs w:val="32"/>
        </w:rPr>
        <w:t>2690人，实际完成值为2649人，存在偏差</w:t>
      </w:r>
      <w:r>
        <w:rPr>
          <w:rFonts w:hint="eastAsia" w:ascii="仿宋_GB2312"/>
          <w:color w:val="000000" w:themeColor="text1"/>
          <w:sz w:val="32"/>
          <w:szCs w:val="32"/>
          <w:lang w:eastAsia="zh-CN"/>
        </w:rPr>
        <w:t>原因是</w:t>
      </w:r>
      <w:r>
        <w:rPr>
          <w:rFonts w:hint="eastAsia" w:ascii="仿宋_GB2312"/>
          <w:color w:val="000000" w:themeColor="text1"/>
          <w:sz w:val="32"/>
          <w:szCs w:val="32"/>
        </w:rPr>
        <w:t>低保人员</w:t>
      </w:r>
      <w:r>
        <w:rPr>
          <w:rFonts w:hint="eastAsia"/>
          <w:sz w:val="32"/>
          <w:szCs w:val="32"/>
        </w:rPr>
        <w:t>实行动态管理，严格审核相关情况，对符合救助条件的人员及时纳入救助系统，对不符合条件的及时予以清退，做到应保尽保，应退尽退。</w:t>
      </w:r>
    </w:p>
    <w:p w14:paraId="1B6059FE">
      <w:pPr>
        <w:numPr>
          <w:ilvl w:val="0"/>
          <w:numId w:val="8"/>
        </w:numPr>
        <w:spacing w:line="600" w:lineRule="exact"/>
        <w:ind w:firstLine="640"/>
        <w:rPr>
          <w:sz w:val="32"/>
          <w:szCs w:val="32"/>
        </w:rPr>
      </w:pPr>
      <w:r>
        <w:rPr>
          <w:rFonts w:hint="eastAsia" w:ascii="仿宋_GB2312"/>
          <w:color w:val="000000" w:themeColor="text1"/>
          <w:sz w:val="32"/>
          <w:szCs w:val="32"/>
        </w:rPr>
        <w:t>“特困人员救助人数”指标，预期指标值为</w:t>
      </w:r>
      <w:r>
        <w:rPr>
          <w:rFonts w:hint="eastAsia"/>
          <w:sz w:val="32"/>
          <w:szCs w:val="32"/>
        </w:rPr>
        <w:t>大于等于</w:t>
      </w:r>
      <w:r>
        <w:rPr>
          <w:rFonts w:hint="eastAsia" w:ascii="仿宋_GB2312"/>
          <w:color w:val="000000" w:themeColor="text1"/>
          <w:sz w:val="32"/>
          <w:szCs w:val="32"/>
        </w:rPr>
        <w:t>262人，实际完成值为243人，存在偏差</w:t>
      </w:r>
      <w:r>
        <w:rPr>
          <w:rFonts w:hint="eastAsia" w:ascii="仿宋_GB2312"/>
          <w:color w:val="000000" w:themeColor="text1"/>
          <w:sz w:val="32"/>
          <w:szCs w:val="32"/>
          <w:lang w:eastAsia="zh-CN"/>
        </w:rPr>
        <w:t>原因是</w:t>
      </w:r>
      <w:r>
        <w:rPr>
          <w:rFonts w:hint="eastAsia" w:ascii="仿宋_GB2312"/>
          <w:color w:val="000000" w:themeColor="text1"/>
          <w:sz w:val="32"/>
          <w:szCs w:val="32"/>
        </w:rPr>
        <w:t>特困人员是</w:t>
      </w:r>
      <w:r>
        <w:rPr>
          <w:rFonts w:hint="eastAsia"/>
          <w:sz w:val="32"/>
          <w:szCs w:val="32"/>
        </w:rPr>
        <w:t xml:space="preserve">实行动态管理，严格审核相关情况，对符合救助条件的人员及时纳入救助系统，对不符合条件的及时予以清退，做到应保尽保，应退尽退。  </w:t>
      </w:r>
    </w:p>
    <w:p w14:paraId="37396CBE">
      <w:pPr>
        <w:spacing w:line="600" w:lineRule="exact"/>
        <w:ind w:firstLine="640"/>
        <w:rPr>
          <w:sz w:val="32"/>
          <w:szCs w:val="32"/>
        </w:rPr>
      </w:pPr>
      <w:r>
        <w:rPr>
          <w:rFonts w:hint="eastAsia" w:ascii="仿宋_GB2312"/>
          <w:color w:val="000000" w:themeColor="text1"/>
          <w:sz w:val="32"/>
          <w:szCs w:val="32"/>
        </w:rPr>
        <w:t>3、“低保资金社会化发放资金”指标，预期指标值为</w:t>
      </w:r>
      <w:r>
        <w:rPr>
          <w:rFonts w:hint="eastAsia"/>
          <w:sz w:val="32"/>
          <w:szCs w:val="32"/>
        </w:rPr>
        <w:t>小于等于</w:t>
      </w:r>
      <w:r>
        <w:rPr>
          <w:rFonts w:hint="eastAsia" w:ascii="仿宋_GB2312"/>
          <w:color w:val="000000" w:themeColor="text1"/>
          <w:sz w:val="32"/>
          <w:szCs w:val="32"/>
        </w:rPr>
        <w:t>1020.14万元，实际完成值为1152.79万元，存在偏差</w:t>
      </w:r>
      <w:r>
        <w:rPr>
          <w:rFonts w:hint="eastAsia" w:ascii="仿宋_GB2312"/>
          <w:color w:val="000000" w:themeColor="text1"/>
          <w:sz w:val="32"/>
          <w:szCs w:val="32"/>
          <w:lang w:eastAsia="zh-CN"/>
        </w:rPr>
        <w:t>原因是</w:t>
      </w:r>
      <w:r>
        <w:rPr>
          <w:rFonts w:hint="eastAsia" w:ascii="仿宋_GB2312"/>
          <w:color w:val="000000" w:themeColor="text1"/>
          <w:sz w:val="32"/>
          <w:szCs w:val="32"/>
        </w:rPr>
        <w:t>低保人员</w:t>
      </w:r>
      <w:r>
        <w:rPr>
          <w:rFonts w:hint="eastAsia"/>
          <w:sz w:val="32"/>
          <w:szCs w:val="32"/>
        </w:rPr>
        <w:t>实行动态管理，严格审核相关情况，对符合救助条件的人员及时纳入救助系统，对不符合条件的及时予以清退，做到应保尽保，应退尽退。</w:t>
      </w:r>
    </w:p>
    <w:p w14:paraId="554EFBA5">
      <w:pPr>
        <w:spacing w:line="600" w:lineRule="exact"/>
        <w:ind w:firstLine="640"/>
        <w:rPr>
          <w:rFonts w:ascii="仿宋_GB2312"/>
          <w:color w:val="000000" w:themeColor="text1"/>
          <w:sz w:val="32"/>
          <w:szCs w:val="32"/>
        </w:rPr>
      </w:pPr>
      <w:r>
        <w:rPr>
          <w:rFonts w:hint="eastAsia" w:ascii="仿宋_GB2312"/>
          <w:color w:val="000000" w:themeColor="text1"/>
          <w:sz w:val="32"/>
          <w:szCs w:val="32"/>
        </w:rPr>
        <w:t>4、“特困人员社会化发放金额”指标，预期指标值为小</w:t>
      </w:r>
      <w:r>
        <w:rPr>
          <w:rFonts w:hint="eastAsia"/>
          <w:sz w:val="32"/>
          <w:szCs w:val="32"/>
        </w:rPr>
        <w:t>于等于</w:t>
      </w:r>
      <w:r>
        <w:rPr>
          <w:rFonts w:hint="eastAsia" w:ascii="仿宋_GB2312"/>
          <w:color w:val="000000" w:themeColor="text1"/>
          <w:sz w:val="32"/>
          <w:szCs w:val="32"/>
        </w:rPr>
        <w:t>298.32万元，实际完成值为285.03万元，存在偏差</w:t>
      </w:r>
      <w:r>
        <w:rPr>
          <w:rFonts w:hint="eastAsia" w:ascii="仿宋_GB2312"/>
          <w:color w:val="000000" w:themeColor="text1"/>
          <w:sz w:val="32"/>
          <w:szCs w:val="32"/>
          <w:lang w:eastAsia="zh-CN"/>
        </w:rPr>
        <w:t>原因是</w:t>
      </w:r>
      <w:r>
        <w:rPr>
          <w:rFonts w:hint="eastAsia" w:ascii="仿宋_GB2312"/>
          <w:color w:val="000000" w:themeColor="text1"/>
          <w:sz w:val="32"/>
          <w:szCs w:val="32"/>
        </w:rPr>
        <w:t>特困人员</w:t>
      </w:r>
      <w:r>
        <w:rPr>
          <w:rFonts w:hint="eastAsia"/>
          <w:sz w:val="32"/>
          <w:szCs w:val="32"/>
        </w:rPr>
        <w:t>实行动态管理，严格审核相关情况，对符合救助条件的人员及时纳入救助系统，对不符合条件的及时予以清退，做到应保尽保，应退尽退。</w:t>
      </w:r>
    </w:p>
    <w:bookmarkEnd w:id="16"/>
    <w:bookmarkEnd w:id="17"/>
    <w:p w14:paraId="559EB068">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411DBE18">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339414FB">
      <w:pPr>
        <w:ind w:firstLine="640"/>
        <w:rPr>
          <w:rFonts w:ascii="仿宋_GB2312" w:hAnsi="仿宋_GB2312" w:cs="仿宋_GB2312"/>
          <w:sz w:val="32"/>
          <w:szCs w:val="32"/>
        </w:rPr>
      </w:pPr>
      <w:r>
        <w:rPr>
          <w:rFonts w:hint="eastAsia"/>
          <w:sz w:val="32"/>
          <w:szCs w:val="32"/>
        </w:rPr>
        <w:t>1、进一步做好动态监测工作。</w:t>
      </w:r>
      <w:r>
        <w:rPr>
          <w:rFonts w:hint="eastAsia" w:ascii="仿宋_GB2312" w:hAnsi="仿宋_GB2312" w:cs="仿宋_GB2312"/>
          <w:sz w:val="32"/>
          <w:szCs w:val="32"/>
        </w:rPr>
        <w:t>落实“单人保”“低保渐退期”“就业成本扣减”等政策，动态更新各类系统数据，精准识别困难群众并及时救助，健全完善“漏保”为重点的预警机制，主动发现重点脱贫不稳定人口、边缘易致贫人口中尚未纳入兜底保障范围的人群以及其他潜在救助对象，保证兜住底、兜准底、兜实底，确保兜底保障政策总体稳定。健全与乡村振兴部门信息共享的长效管理机制，及时将符合条件的“三类户”按规定纳入低保或特困供养范围，切实解决困难群众生活难题</w:t>
      </w:r>
    </w:p>
    <w:p w14:paraId="5D4E921A">
      <w:pPr>
        <w:pStyle w:val="10"/>
        <w:widowControl/>
        <w:shd w:val="clear" w:color="auto" w:fill="FFFFFF"/>
        <w:spacing w:beforeAutospacing="0" w:afterAutospacing="0"/>
        <w:ind w:firstLine="640"/>
        <w:jc w:val="both"/>
        <w:rPr>
          <w:rFonts w:ascii="仿宋_GB2312" w:hAnsi="仿宋_GB2312" w:cs="仿宋_GB2312"/>
          <w:kern w:val="2"/>
          <w:sz w:val="32"/>
          <w:szCs w:val="32"/>
        </w:rPr>
      </w:pPr>
      <w:r>
        <w:rPr>
          <w:rFonts w:ascii="仿宋_GB2312" w:hAnsi="仿宋_GB2312" w:cs="仿宋_GB2312"/>
          <w:kern w:val="2"/>
          <w:sz w:val="32"/>
          <w:szCs w:val="32"/>
        </w:rPr>
        <w:t>2、加强最低生活保障工作宣传。为加大社会救助领域，尤其是兜底保障领域的政策知晓度，县民政局通过政</w:t>
      </w:r>
      <w:r>
        <w:rPr>
          <w:rFonts w:hint="eastAsia" w:ascii="仿宋_GB2312" w:hAnsi="仿宋_GB2312" w:cs="仿宋_GB2312"/>
          <w:kern w:val="2"/>
          <w:sz w:val="32"/>
          <w:szCs w:val="32"/>
          <w:lang w:eastAsia="zh-CN"/>
        </w:rPr>
        <w:t>务</w:t>
      </w:r>
      <w:r>
        <w:rPr>
          <w:rFonts w:ascii="仿宋_GB2312" w:hAnsi="仿宋_GB2312" w:cs="仿宋_GB2312"/>
          <w:kern w:val="2"/>
          <w:sz w:val="32"/>
          <w:szCs w:val="32"/>
        </w:rPr>
        <w:t>公开网站发布相关的政策宣传内容，方便群众了解及查看。</w:t>
      </w:r>
    </w:p>
    <w:p w14:paraId="4020E270">
      <w:pPr>
        <w:pStyle w:val="23"/>
        <w:spacing w:before="0" w:after="0" w:line="600" w:lineRule="exact"/>
        <w:ind w:left="560"/>
        <w:rPr>
          <w:rFonts w:ascii="仿宋_GB2312" w:hAnsi="仿宋_GB2312" w:cs="仿宋_GB2312"/>
          <w:sz w:val="32"/>
        </w:rPr>
      </w:pPr>
      <w:bookmarkStart w:id="18" w:name="_Toc68364674"/>
      <w:r>
        <w:rPr>
          <w:rFonts w:hint="eastAsia" w:ascii="仿宋_GB2312" w:hAnsi="仿宋_GB2312" w:cs="仿宋_GB2312"/>
          <w:sz w:val="32"/>
        </w:rPr>
        <w:t>（二）存在问题及原因分析</w:t>
      </w:r>
      <w:bookmarkEnd w:id="18"/>
    </w:p>
    <w:p w14:paraId="25D152AA">
      <w:pPr>
        <w:ind w:firstLine="640"/>
        <w:rPr>
          <w:rFonts w:ascii="仿宋_GB2312" w:hAnsi="仿宋_GB2312" w:cs="仿宋_GB2312"/>
          <w:sz w:val="32"/>
          <w:szCs w:val="32"/>
        </w:rPr>
      </w:pPr>
      <w:r>
        <w:rPr>
          <w:rFonts w:hint="eastAsia" w:ascii="仿宋_GB2312" w:hAnsi="仿宋_GB2312" w:cs="仿宋_GB2312"/>
          <w:sz w:val="32"/>
          <w:szCs w:val="32"/>
        </w:rPr>
        <w:t>1、由于乡镇基层民政干部少、工作量大，更换频繁，人员流动较大，工作衔接不上，政策业务不熟悉，一定程度上制约了社会救助工作的开展。</w:t>
      </w:r>
    </w:p>
    <w:p w14:paraId="64932AF9">
      <w:pPr>
        <w:pStyle w:val="21"/>
        <w:spacing w:line="560" w:lineRule="exact"/>
        <w:ind w:firstLine="640"/>
        <w:rPr>
          <w:rFonts w:ascii="仿宋_GB2312"/>
          <w:bCs/>
          <w:color w:val="FF0000"/>
          <w:spacing w:val="-4"/>
          <w:sz w:val="32"/>
          <w:szCs w:val="32"/>
        </w:rPr>
      </w:pPr>
      <w:r>
        <w:rPr>
          <w:rFonts w:hint="eastAsia" w:ascii="仿宋_GB2312" w:hAnsi="仿宋_GB2312" w:cs="仿宋_GB2312"/>
          <w:sz w:val="32"/>
          <w:szCs w:val="32"/>
        </w:rPr>
        <w:t>2、对象认定不够精准。基层工作人员对政策的熟悉程度不够，特别是针对一些特殊的个案问题，难以把握，容易走偏。入户调查收入时，家庭的隐性收入难以核实，其收入扣减项没有扣减到位，造成有些困难群众没有及时纳入。</w:t>
      </w:r>
    </w:p>
    <w:p w14:paraId="3D83B1EB">
      <w:pPr>
        <w:pStyle w:val="2"/>
        <w:spacing w:line="600" w:lineRule="exact"/>
        <w:ind w:firstLine="640"/>
        <w:rPr>
          <w:szCs w:val="32"/>
        </w:rPr>
      </w:pPr>
      <w:r>
        <w:rPr>
          <w:rFonts w:hint="eastAsia"/>
          <w:szCs w:val="32"/>
        </w:rPr>
        <w:t>七、有关建议</w:t>
      </w:r>
    </w:p>
    <w:p w14:paraId="116BB801">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7394233F">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6D6FBC17">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420E61B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p>
    <w:p w14:paraId="31C9C1DA">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2D080959">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2A249184">
      <w:pPr>
        <w:pStyle w:val="21"/>
        <w:spacing w:line="60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46BFF05C">
      <w:pPr>
        <w:pStyle w:val="21"/>
        <w:spacing w:line="600" w:lineRule="exact"/>
        <w:ind w:firstLine="640"/>
        <w:rPr>
          <w:rFonts w:ascii="仿宋_GB2312"/>
          <w:sz w:val="32"/>
          <w:szCs w:val="32"/>
        </w:rPr>
      </w:pPr>
      <w:r>
        <w:rPr>
          <w:rFonts w:ascii="仿宋_GB2312"/>
          <w:sz w:val="32"/>
          <w:szCs w:val="32"/>
        </w:rPr>
        <w:t>通过召开会议、</w:t>
      </w:r>
      <w:r>
        <w:rPr>
          <w:rFonts w:hint="eastAsia" w:ascii="仿宋_GB2312"/>
          <w:sz w:val="32"/>
          <w:szCs w:val="32"/>
        </w:rPr>
        <w:t>市</w:t>
      </w:r>
      <w:r>
        <w:rPr>
          <w:rFonts w:ascii="仿宋_GB2312"/>
          <w:sz w:val="32"/>
          <w:szCs w:val="32"/>
        </w:rPr>
        <w:t>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r>
        <w:rPr>
          <w:rFonts w:hint="eastAsia" w:ascii="仿宋_GB2312"/>
          <w:sz w:val="32"/>
          <w:szCs w:val="32"/>
        </w:rPr>
        <w:t>市</w:t>
      </w:r>
      <w:r>
        <w:rPr>
          <w:rFonts w:ascii="仿宋_GB2312"/>
          <w:sz w:val="32"/>
          <w:szCs w:val="32"/>
        </w:rPr>
        <w:t>委、</w:t>
      </w:r>
      <w:r>
        <w:rPr>
          <w:rFonts w:hint="eastAsia" w:ascii="仿宋_GB2312"/>
          <w:sz w:val="32"/>
          <w:szCs w:val="32"/>
        </w:rPr>
        <w:t>市</w:t>
      </w:r>
      <w:r>
        <w:rPr>
          <w:rFonts w:ascii="仿宋_GB2312"/>
          <w:sz w:val="32"/>
          <w:szCs w:val="32"/>
        </w:rPr>
        <w:t>政府、人大、政协党政机关和主要党政领导汇报，最大限度争取重视和支持，提升预算绩效管理的权威性。</w:t>
      </w:r>
    </w:p>
    <w:p w14:paraId="485EF819">
      <w:pPr>
        <w:pStyle w:val="21"/>
        <w:numPr>
          <w:ilvl w:val="0"/>
          <w:numId w:val="9"/>
        </w:numPr>
        <w:spacing w:line="600" w:lineRule="exact"/>
        <w:ind w:firstLine="643"/>
        <w:rPr>
          <w:rFonts w:ascii="仿宋_GB2312"/>
          <w:b/>
          <w:bCs/>
          <w:sz w:val="32"/>
          <w:szCs w:val="32"/>
        </w:rPr>
      </w:pPr>
      <w:r>
        <w:rPr>
          <w:rFonts w:ascii="仿宋_GB2312"/>
          <w:b/>
          <w:bCs/>
          <w:sz w:val="32"/>
          <w:szCs w:val="32"/>
        </w:rPr>
        <w:t>加强业务培训，提升专业能力</w:t>
      </w:r>
    </w:p>
    <w:p w14:paraId="64E15656">
      <w:pPr>
        <w:pStyle w:val="21"/>
        <w:spacing w:line="600" w:lineRule="exact"/>
        <w:ind w:firstLine="640"/>
        <w:rPr>
          <w:rFonts w:ascii="仿宋_GB2312"/>
          <w:sz w:val="32"/>
          <w:szCs w:val="32"/>
        </w:rPr>
      </w:pPr>
      <w:r>
        <w:rPr>
          <w:rFonts w:ascii="仿宋_GB2312"/>
          <w:sz w:val="32"/>
          <w:szCs w:val="32"/>
        </w:rPr>
        <w:t>预算绩效管理是一项专业性、技术性较强的工作，没有人才支撑，只能是纸上谈兵。</w:t>
      </w:r>
      <w:r>
        <w:rPr>
          <w:rFonts w:hint="eastAsia" w:ascii="仿宋_GB2312"/>
          <w:sz w:val="32"/>
          <w:szCs w:val="32"/>
        </w:rPr>
        <w:t>市</w:t>
      </w:r>
      <w:r>
        <w:rPr>
          <w:rFonts w:ascii="仿宋_GB2312"/>
          <w:sz w:val="32"/>
          <w:szCs w:val="32"/>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13DA0D35">
      <w:pPr>
        <w:pStyle w:val="21"/>
        <w:numPr>
          <w:ilvl w:val="0"/>
          <w:numId w:val="9"/>
        </w:numPr>
        <w:spacing w:line="600" w:lineRule="exact"/>
        <w:ind w:firstLine="643"/>
        <w:rPr>
          <w:rFonts w:ascii="仿宋_GB2312"/>
          <w:b/>
          <w:bCs/>
          <w:sz w:val="32"/>
          <w:szCs w:val="32"/>
        </w:rPr>
      </w:pPr>
      <w:r>
        <w:rPr>
          <w:rFonts w:ascii="仿宋_GB2312"/>
          <w:b/>
          <w:bCs/>
          <w:sz w:val="32"/>
          <w:szCs w:val="32"/>
        </w:rPr>
        <w:t>健全管理机制，促进深度融合</w:t>
      </w:r>
    </w:p>
    <w:p w14:paraId="25A631A9">
      <w:pPr>
        <w:pStyle w:val="21"/>
        <w:spacing w:line="600" w:lineRule="exact"/>
        <w:ind w:firstLine="640"/>
        <w:rPr>
          <w:rFonts w:ascii="仿宋_GB2312"/>
          <w:sz w:val="32"/>
          <w:szCs w:val="32"/>
        </w:rPr>
      </w:pPr>
      <w:r>
        <w:rPr>
          <w:rFonts w:ascii="仿宋_GB2312"/>
          <w:sz w:val="32"/>
          <w:szCs w:val="32"/>
        </w:rPr>
        <w:t>目前</w:t>
      </w:r>
      <w:r>
        <w:rPr>
          <w:rFonts w:hint="eastAsia" w:ascii="仿宋_GB2312"/>
          <w:sz w:val="32"/>
          <w:szCs w:val="32"/>
        </w:rPr>
        <w:t>市</w:t>
      </w:r>
      <w:r>
        <w:rPr>
          <w:rFonts w:ascii="仿宋_GB2312"/>
          <w:sz w:val="32"/>
          <w:szCs w:val="32"/>
        </w:rPr>
        <w:t>级财政部门的预算股、资金管理股和绩效管理股之间的预算绩效业务工作缺乏紧密配合，基本处于脱节状态，必须要加强</w:t>
      </w:r>
      <w:r>
        <w:rPr>
          <w:rFonts w:hint="eastAsia" w:ascii="仿宋_GB2312"/>
          <w:sz w:val="32"/>
          <w:szCs w:val="32"/>
        </w:rPr>
        <w:t>市</w:t>
      </w:r>
      <w:r>
        <w:rPr>
          <w:rFonts w:ascii="仿宋_GB2312"/>
          <w:sz w:val="32"/>
          <w:szCs w:val="32"/>
        </w:rPr>
        <w:t>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752ED060">
      <w:pPr>
        <w:pStyle w:val="2"/>
        <w:spacing w:line="600" w:lineRule="exact"/>
        <w:ind w:firstLine="640"/>
        <w:rPr>
          <w:szCs w:val="32"/>
        </w:rPr>
      </w:pPr>
      <w:r>
        <w:rPr>
          <w:rFonts w:hint="eastAsia"/>
          <w:szCs w:val="32"/>
        </w:rPr>
        <w:t>八、其他需要说明的问题</w:t>
      </w:r>
    </w:p>
    <w:p w14:paraId="6863BADA">
      <w:pPr>
        <w:pStyle w:val="21"/>
        <w:spacing w:line="600" w:lineRule="exact"/>
        <w:ind w:firstLine="624"/>
        <w:rPr>
          <w:rFonts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F0BEF55-C08C-4C51-A144-891069689BDF}"/>
  </w:font>
  <w:font w:name="黑体">
    <w:panose1 w:val="02010609060101010101"/>
    <w:charset w:val="86"/>
    <w:family w:val="auto"/>
    <w:pitch w:val="default"/>
    <w:sig w:usb0="800002BF" w:usb1="38CF7CFA" w:usb2="00000016" w:usb3="00000000" w:csb0="00040001" w:csb1="00000000"/>
    <w:embedRegular r:id="rId2" w:fontKey="{ECBE7F69-05FF-4B0D-B211-1A0C012076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9F23D120-E82A-41C3-AFD7-9CA665F3E522}"/>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仿宋_GB2312"/>
    <w:panose1 w:val="00000000000000000000"/>
    <w:charset w:val="86"/>
    <w:family w:val="script"/>
    <w:pitch w:val="default"/>
    <w:sig w:usb0="00000000" w:usb1="00000000" w:usb2="00000000" w:usb3="00000000" w:csb0="00040000" w:csb1="00000000"/>
    <w:embedRegular r:id="rId4" w:fontKey="{39EF6045-E129-4CDC-A2EF-CADFC865E57A}"/>
  </w:font>
  <w:font w:name="楷体_GB2312">
    <w:panose1 w:val="02010609030101010101"/>
    <w:charset w:val="86"/>
    <w:family w:val="modern"/>
    <w:pitch w:val="default"/>
    <w:sig w:usb0="00000001" w:usb1="080E0000" w:usb2="00000000" w:usb3="00000000" w:csb0="00040000" w:csb1="00000000"/>
    <w:embedRegular r:id="rId5" w:fontKey="{1B3C74F2-2352-47D6-B945-4968BED45BA9}"/>
  </w:font>
  <w:font w:name="方正小标宋_GBK">
    <w:panose1 w:val="03000509000000000000"/>
    <w:charset w:val="86"/>
    <w:family w:val="script"/>
    <w:pitch w:val="default"/>
    <w:sig w:usb0="00000001" w:usb1="080E0000" w:usb2="00000000" w:usb3="00000000" w:csb0="00040000" w:csb1="00000000"/>
    <w:embedRegular r:id="rId6" w:fontKey="{82AF60D1-74D7-4889-8D8E-C44CF7930E4A}"/>
  </w:font>
  <w:font w:name="微软雅黑">
    <w:panose1 w:val="020B0503020204020204"/>
    <w:charset w:val="86"/>
    <w:family w:val="swiss"/>
    <w:pitch w:val="default"/>
    <w:sig w:usb0="80000287" w:usb1="280F3C52" w:usb2="00000016" w:usb3="00000000" w:csb0="0004001F" w:csb1="00000000"/>
    <w:embedRegular r:id="rId7" w:fontKey="{F884532D-1C82-46BD-8ABC-D782C5FFE3DC}"/>
  </w:font>
  <w:font w:name="仿宋">
    <w:panose1 w:val="02010609060101010101"/>
    <w:charset w:val="86"/>
    <w:family w:val="modern"/>
    <w:pitch w:val="default"/>
    <w:sig w:usb0="800002BF" w:usb1="38CF7CFA" w:usb2="00000016" w:usb3="00000000" w:csb0="00040001" w:csb1="00000000"/>
    <w:embedRegular r:id="rId8" w:fontKey="{BEABFB42-8482-4260-AE0F-AE1D10A20F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3C50">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2034FC42">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20</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66EBA">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A1D75">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180E8">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A264">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BF5A">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CD492011"/>
    <w:multiLevelType w:val="singleLevel"/>
    <w:tmpl w:val="CD492011"/>
    <w:lvl w:ilvl="0" w:tentative="0">
      <w:start w:val="1"/>
      <w:numFmt w:val="decimal"/>
      <w:suff w:val="nothing"/>
      <w:lvlText w:val="%1、"/>
      <w:lvlJc w:val="left"/>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162348DC"/>
    <w:multiLevelType w:val="singleLevel"/>
    <w:tmpl w:val="162348DC"/>
    <w:lvl w:ilvl="0" w:tentative="0">
      <w:start w:val="2"/>
      <w:numFmt w:val="decimal"/>
      <w:lvlText w:val="%1."/>
      <w:lvlJc w:val="left"/>
      <w:pPr>
        <w:tabs>
          <w:tab w:val="left" w:pos="312"/>
        </w:tabs>
      </w:pPr>
    </w:lvl>
  </w:abstractNum>
  <w:abstractNum w:abstractNumId="6">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7">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66511E"/>
    <w:multiLevelType w:val="singleLevel"/>
    <w:tmpl w:val="4166511E"/>
    <w:lvl w:ilvl="0" w:tentative="0">
      <w:start w:val="1"/>
      <w:numFmt w:val="chineseCounting"/>
      <w:suff w:val="nothing"/>
      <w:lvlText w:val="（%1）"/>
      <w:lvlJc w:val="left"/>
      <w:rPr>
        <w:rFonts w:hint="eastAsia"/>
      </w:rPr>
    </w:lvl>
  </w:abstractNum>
  <w:num w:numId="1">
    <w:abstractNumId w:val="7"/>
  </w:num>
  <w:num w:numId="2">
    <w:abstractNumId w:val="0"/>
  </w:num>
  <w:num w:numId="3">
    <w:abstractNumId w:val="1"/>
  </w:num>
  <w:num w:numId="4">
    <w:abstractNumId w:val="6"/>
  </w:num>
  <w:num w:numId="5">
    <w:abstractNumId w:val="4"/>
  </w:num>
  <w:num w:numId="6">
    <w:abstractNumId w:val="5"/>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NkZDdiNDMzMTc1NmIzZDY2YjgwMzEyYmM4OWQ3MTUifQ=="/>
  </w:docVars>
  <w:rsids>
    <w:rsidRoot w:val="68291A1A"/>
    <w:rsid w:val="00004DD3"/>
    <w:rsid w:val="000235A3"/>
    <w:rsid w:val="000545A8"/>
    <w:rsid w:val="001472A5"/>
    <w:rsid w:val="0015505A"/>
    <w:rsid w:val="001623FF"/>
    <w:rsid w:val="00166E74"/>
    <w:rsid w:val="00175A91"/>
    <w:rsid w:val="00192D10"/>
    <w:rsid w:val="001A4AC3"/>
    <w:rsid w:val="001B5602"/>
    <w:rsid w:val="001D41AD"/>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0E7E"/>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10511AEA"/>
    <w:rsid w:val="12F1313F"/>
    <w:rsid w:val="19A12B83"/>
    <w:rsid w:val="1B765D3B"/>
    <w:rsid w:val="1E676920"/>
    <w:rsid w:val="245E1E24"/>
    <w:rsid w:val="2E483E7E"/>
    <w:rsid w:val="2FF22A22"/>
    <w:rsid w:val="33944516"/>
    <w:rsid w:val="3D040BCD"/>
    <w:rsid w:val="3E2D1506"/>
    <w:rsid w:val="49A75425"/>
    <w:rsid w:val="4FB6476D"/>
    <w:rsid w:val="53DC3D59"/>
    <w:rsid w:val="581973B0"/>
    <w:rsid w:val="5D513014"/>
    <w:rsid w:val="5D7317A1"/>
    <w:rsid w:val="5EDF9208"/>
    <w:rsid w:val="5FAFB075"/>
    <w:rsid w:val="5FD12A67"/>
    <w:rsid w:val="68291A1A"/>
    <w:rsid w:val="691B1594"/>
    <w:rsid w:val="6F0D6C22"/>
    <w:rsid w:val="6FD35114"/>
    <w:rsid w:val="6FE3224A"/>
    <w:rsid w:val="6FE70C15"/>
    <w:rsid w:val="6FF38B9B"/>
    <w:rsid w:val="70161521"/>
    <w:rsid w:val="70784420"/>
    <w:rsid w:val="73D9A77D"/>
    <w:rsid w:val="73F90A54"/>
    <w:rsid w:val="7657F55C"/>
    <w:rsid w:val="76CA1851"/>
    <w:rsid w:val="76D2301A"/>
    <w:rsid w:val="77861774"/>
    <w:rsid w:val="77978BBA"/>
    <w:rsid w:val="77FD56A3"/>
    <w:rsid w:val="786D3A99"/>
    <w:rsid w:val="79300B45"/>
    <w:rsid w:val="7AFFA044"/>
    <w:rsid w:val="7C55A6FE"/>
    <w:rsid w:val="7C7F22A6"/>
    <w:rsid w:val="7DA73FC5"/>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Autospacing="1" w:afterAutospacing="1"/>
      <w:jc w:val="left"/>
    </w:pPr>
    <w:rPr>
      <w:kern w:val="0"/>
      <w:sz w:val="24"/>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9087</Words>
  <Characters>9587</Characters>
  <Lines>5</Lines>
  <Paragraphs>19</Paragraphs>
  <TotalTime>2</TotalTime>
  <ScaleCrop>false</ScaleCrop>
  <LinksUpToDate>false</LinksUpToDate>
  <CharactersWithSpaces>9602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快乐人生</cp:lastModifiedBy>
  <cp:lastPrinted>2021-03-04T11:49:00Z</cp:lastPrinted>
  <dcterms:modified xsi:type="dcterms:W3CDTF">2024-11-18T03:20:52Z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